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47D1C" w14:textId="349F9540" w:rsidR="0044392F" w:rsidRPr="001D6A78" w:rsidRDefault="0009087F" w:rsidP="0009087F">
      <w:pPr>
        <w:jc w:val="both"/>
        <w:rPr>
          <w:b/>
          <w:bCs/>
        </w:rPr>
      </w:pPr>
      <w:r w:rsidRPr="001D6A78">
        <w:rPr>
          <w:b/>
          <w:bCs/>
        </w:rPr>
        <w:t>Modulen IBD prašek 400 g</w:t>
      </w:r>
    </w:p>
    <w:p w14:paraId="692D7A8F" w14:textId="77777777" w:rsidR="00993EE9" w:rsidRPr="001D6A78" w:rsidRDefault="00993EE9" w:rsidP="0009087F">
      <w:pPr>
        <w:jc w:val="both"/>
        <w:rPr>
          <w:b/>
          <w:bCs/>
        </w:rPr>
      </w:pPr>
    </w:p>
    <w:p w14:paraId="54404800" w14:textId="26933055" w:rsidR="00FD7FDE" w:rsidRPr="001D6A78" w:rsidRDefault="00FD7FDE" w:rsidP="00B262BC">
      <w:pPr>
        <w:jc w:val="both"/>
        <w:rPr>
          <w:rFonts w:cstheme="minorHAnsi"/>
        </w:rPr>
      </w:pPr>
      <w:r w:rsidRPr="001D6A78">
        <w:rPr>
          <w:rFonts w:cstheme="minorHAnsi"/>
        </w:rPr>
        <w:t xml:space="preserve">Modulen IBD je živilo za posebne zdravstvene namene, namenjeno prehranskemu uravnavanju Crohnove bolezni. Primerno je kot edini vir prehrane ali kot dodatek k prehrani in je namenjeno starejšim od 5 let. Lahko </w:t>
      </w:r>
      <w:r w:rsidR="0009087F" w:rsidRPr="001D6A78">
        <w:rPr>
          <w:rFonts w:cstheme="minorHAnsi"/>
        </w:rPr>
        <w:t>ga uživamo</w:t>
      </w:r>
      <w:r w:rsidRPr="001D6A78">
        <w:rPr>
          <w:rFonts w:cstheme="minorHAnsi"/>
        </w:rPr>
        <w:t xml:space="preserve"> peroralno ali </w:t>
      </w:r>
      <w:r w:rsidR="002C1E02" w:rsidRPr="001D6A78">
        <w:rPr>
          <w:rFonts w:cstheme="minorHAnsi"/>
        </w:rPr>
        <w:t>s pomočjo</w:t>
      </w:r>
      <w:r w:rsidRPr="001D6A78">
        <w:rPr>
          <w:rFonts w:cstheme="minorHAnsi"/>
        </w:rPr>
        <w:t xml:space="preserve"> sonde. Ni za parenteralno uporabo.</w:t>
      </w:r>
    </w:p>
    <w:p w14:paraId="71BB898D" w14:textId="10764A1C" w:rsidR="00F85DBC" w:rsidRPr="001D6A78" w:rsidRDefault="005A4928" w:rsidP="00B262BC">
      <w:pPr>
        <w:spacing w:after="0" w:line="240" w:lineRule="auto"/>
        <w:jc w:val="both"/>
      </w:pPr>
      <w:r w:rsidRPr="001D6A78">
        <w:t xml:space="preserve">Energijska vrednost izdelka na 100 g je </w:t>
      </w:r>
      <w:r w:rsidR="000E5178" w:rsidRPr="001D6A78">
        <w:t>493 kcal. Maščobe predstavljajo 42% kalorijskega vnosa</w:t>
      </w:r>
      <w:r w:rsidR="00BC31BC" w:rsidRPr="001D6A78">
        <w:t>.</w:t>
      </w:r>
      <w:r w:rsidR="00B262BC">
        <w:t xml:space="preserve"> </w:t>
      </w:r>
      <w:r w:rsidR="00BC31BC" w:rsidRPr="001D6A78">
        <w:t xml:space="preserve">Razmerje med MCT (srednjeverižnimi trigliceridi) in LCT (dolgoverižnimi trigliceridi) je 25:75, kar telesu predstavlja hiter in lahko dostopen vir energije. Da bi zmanjšali možnost pojava povezanih vnetnih učinkov, predstavljajo n-6 polinenasičene maščobne kisline le 4 % celotne energijske vrednosti. </w:t>
      </w:r>
      <w:r w:rsidR="00B262BC">
        <w:t xml:space="preserve"> </w:t>
      </w:r>
      <w:r w:rsidR="00317E3E" w:rsidRPr="001D6A78">
        <w:t xml:space="preserve">Ogljikovi hidrati predstavljajo </w:t>
      </w:r>
      <w:r w:rsidR="00E3624F" w:rsidRPr="001D6A78">
        <w:t>44% kalorijskega vnosa</w:t>
      </w:r>
      <w:r w:rsidR="001A7C5E" w:rsidRPr="001D6A78">
        <w:t>, beljakovine pa 14% kalorijskega vnosa</w:t>
      </w:r>
      <w:r w:rsidR="00BC77D4" w:rsidRPr="001D6A78">
        <w:t>.</w:t>
      </w:r>
      <w:r w:rsidR="00B262BC">
        <w:t xml:space="preserve"> </w:t>
      </w:r>
      <w:r w:rsidR="004A2F29" w:rsidRPr="001D6A78">
        <w:t>Formulacija z intaktnimi proteini* je posebno zasnovana tako, da ohrani naravno prisotni aktivni transformirajoči rastni faktor beta 2 (TGF-ß2) - protivnetni citokin, ki sodeluje v procesu regulacije vnetnega odgovora v prebavilih. (*US Patent 5,952,295).</w:t>
      </w:r>
      <w:r w:rsidR="009E53DD" w:rsidRPr="001D6A78">
        <w:t xml:space="preserve"> </w:t>
      </w:r>
      <w:r w:rsidR="00BC77D4" w:rsidRPr="001D6A78">
        <w:t xml:space="preserve">Modulen </w:t>
      </w:r>
      <w:r w:rsidR="00F97544" w:rsidRPr="001D6A78">
        <w:t>vsebuje tudi vse nujno potrebne vitamine in minerale.</w:t>
      </w:r>
      <w:r w:rsidR="009E53DD" w:rsidRPr="001D6A78">
        <w:t xml:space="preserve"> Ne vsebuje laktoze in glutena</w:t>
      </w:r>
      <w:r w:rsidR="00F85DBC" w:rsidRPr="001D6A78">
        <w:t>.</w:t>
      </w:r>
      <w:r w:rsidR="00CC14DE">
        <w:t xml:space="preserve"> </w:t>
      </w:r>
      <w:r w:rsidR="00F85DBC" w:rsidRPr="001D6A78">
        <w:t>Ima nizko osmola</w:t>
      </w:r>
      <w:r w:rsidR="00C95334" w:rsidRPr="001D6A78">
        <w:t>r</w:t>
      </w:r>
      <w:r w:rsidR="00F85DBC" w:rsidRPr="001D6A78">
        <w:t>nost in je dobrega okusa.</w:t>
      </w:r>
    </w:p>
    <w:p w14:paraId="3CAA30C8" w14:textId="77777777" w:rsidR="00C31A6E" w:rsidRPr="001D6A78" w:rsidRDefault="00C31A6E" w:rsidP="00B262BC">
      <w:pPr>
        <w:spacing w:after="0" w:line="240" w:lineRule="auto"/>
        <w:jc w:val="both"/>
        <w:rPr>
          <w:rFonts w:cstheme="minorHAnsi"/>
        </w:rPr>
      </w:pPr>
    </w:p>
    <w:p w14:paraId="2F6E5076" w14:textId="04E9FCCB" w:rsidR="007B07C3" w:rsidRPr="001D6A78" w:rsidRDefault="000941A3" w:rsidP="00B262BC">
      <w:pPr>
        <w:spacing w:after="0" w:line="240" w:lineRule="auto"/>
        <w:jc w:val="both"/>
        <w:rPr>
          <w:rFonts w:cstheme="minorHAnsi"/>
        </w:rPr>
      </w:pPr>
      <w:r w:rsidRPr="001D6A78">
        <w:rPr>
          <w:rFonts w:cstheme="minorHAnsi"/>
        </w:rPr>
        <w:t xml:space="preserve">Delovanje </w:t>
      </w:r>
      <w:r w:rsidR="00F85DBC" w:rsidRPr="001D6A78">
        <w:rPr>
          <w:rFonts w:cstheme="minorHAnsi"/>
        </w:rPr>
        <w:t xml:space="preserve">je </w:t>
      </w:r>
      <w:r w:rsidRPr="001D6A78">
        <w:rPr>
          <w:rFonts w:cstheme="minorHAnsi"/>
        </w:rPr>
        <w:t>podprto s številnimi kliničnimi študijami</w:t>
      </w:r>
      <w:r w:rsidR="00843AEB" w:rsidRPr="001D6A78">
        <w:rPr>
          <w:rFonts w:cstheme="minorHAnsi"/>
        </w:rPr>
        <w:t xml:space="preserve">, ki so pokazale </w:t>
      </w:r>
      <w:r w:rsidR="00CC14DE">
        <w:rPr>
          <w:rFonts w:cstheme="minorHAnsi"/>
        </w:rPr>
        <w:t>sledeče</w:t>
      </w:r>
      <w:r w:rsidR="00843AEB" w:rsidRPr="001D6A78">
        <w:rPr>
          <w:rFonts w:cstheme="minorHAnsi"/>
        </w:rPr>
        <w:t xml:space="preserve"> učinke:</w:t>
      </w:r>
    </w:p>
    <w:p w14:paraId="05ECD473" w14:textId="77777777" w:rsidR="00D5256D" w:rsidRPr="00D5256D" w:rsidRDefault="00D5256D" w:rsidP="00D5256D">
      <w:pPr>
        <w:pStyle w:val="Odstavekseznama"/>
        <w:numPr>
          <w:ilvl w:val="0"/>
          <w:numId w:val="3"/>
        </w:numPr>
        <w:spacing w:after="0" w:line="240" w:lineRule="auto"/>
        <w:jc w:val="both"/>
        <w:rPr>
          <w:rFonts w:cstheme="minorHAnsi"/>
        </w:rPr>
      </w:pPr>
      <w:r>
        <w:t>p</w:t>
      </w:r>
      <w:r w:rsidR="005C28C5" w:rsidRPr="001D6A78">
        <w:t>omaga zmanjšati vnet</w:t>
      </w:r>
      <w:r w:rsidR="001E48A7" w:rsidRPr="001D6A78">
        <w:t>je</w:t>
      </w:r>
      <w:r w:rsidR="005C28C5" w:rsidRPr="001D6A78">
        <w:t xml:space="preserve"> </w:t>
      </w:r>
      <w:r w:rsidR="005C28C5" w:rsidRPr="00D5256D">
        <w:rPr>
          <w:vertAlign w:val="superscript"/>
        </w:rPr>
        <w:t>(1, 10–12, 14–23, 28–29)</w:t>
      </w:r>
    </w:p>
    <w:p w14:paraId="1422FCCE" w14:textId="123A328A" w:rsidR="00C95334" w:rsidRPr="00D5256D" w:rsidRDefault="00D5256D" w:rsidP="00D5256D">
      <w:pPr>
        <w:pStyle w:val="Odstavekseznama"/>
        <w:numPr>
          <w:ilvl w:val="0"/>
          <w:numId w:val="3"/>
        </w:numPr>
        <w:spacing w:after="0" w:line="240" w:lineRule="auto"/>
        <w:jc w:val="both"/>
        <w:rPr>
          <w:rFonts w:cstheme="minorHAnsi"/>
        </w:rPr>
      </w:pPr>
      <w:r>
        <w:t>p</w:t>
      </w:r>
      <w:r w:rsidR="00FF1BAE" w:rsidRPr="001D6A78">
        <w:t xml:space="preserve">omaga pri indukciji remisije </w:t>
      </w:r>
      <w:r w:rsidR="00FF1BAE" w:rsidRPr="00D5256D">
        <w:rPr>
          <w:vertAlign w:val="superscript"/>
        </w:rPr>
        <w:t>(10–24, 27–29</w:t>
      </w:r>
      <w:r w:rsidR="001E48A7" w:rsidRPr="00D5256D">
        <w:rPr>
          <w:vertAlign w:val="superscript"/>
        </w:rPr>
        <w:t>)</w:t>
      </w:r>
    </w:p>
    <w:p w14:paraId="40D499EE" w14:textId="77777777" w:rsidR="007B07C3" w:rsidRDefault="00D5256D" w:rsidP="007B07C3">
      <w:pPr>
        <w:pStyle w:val="Odstavekseznama"/>
        <w:numPr>
          <w:ilvl w:val="0"/>
          <w:numId w:val="3"/>
        </w:numPr>
        <w:spacing w:after="0" w:line="240" w:lineRule="auto"/>
        <w:jc w:val="both"/>
      </w:pPr>
      <w:r>
        <w:t>p</w:t>
      </w:r>
      <w:r w:rsidR="00A22467" w:rsidRPr="001D6A78">
        <w:t xml:space="preserve">odpira celjenje črevesne sluznice </w:t>
      </w:r>
      <w:r w:rsidR="00A22467" w:rsidRPr="00D5256D">
        <w:rPr>
          <w:vertAlign w:val="superscript"/>
        </w:rPr>
        <w:t>(10, 12–13, 15–18)</w:t>
      </w:r>
      <w:r w:rsidR="007B07C3">
        <w:rPr>
          <w:vertAlign w:val="superscript"/>
        </w:rPr>
        <w:t xml:space="preserve"> </w:t>
      </w:r>
    </w:p>
    <w:p w14:paraId="06AB8B3B" w14:textId="6D99D02F" w:rsidR="00A33D4B" w:rsidRPr="007B07C3" w:rsidRDefault="00D5256D" w:rsidP="007B07C3">
      <w:pPr>
        <w:pStyle w:val="Odstavekseznama"/>
        <w:numPr>
          <w:ilvl w:val="0"/>
          <w:numId w:val="3"/>
        </w:numPr>
        <w:spacing w:after="0" w:line="240" w:lineRule="auto"/>
        <w:jc w:val="both"/>
      </w:pPr>
      <w:r>
        <w:t>i</w:t>
      </w:r>
      <w:r w:rsidR="00A33D4B" w:rsidRPr="001D6A78">
        <w:t xml:space="preserve">zboljša prehranski status in podpira rast </w:t>
      </w:r>
      <w:r w:rsidR="00A33D4B" w:rsidRPr="007B07C3">
        <w:rPr>
          <w:vertAlign w:val="superscript"/>
        </w:rPr>
        <w:t>(1, 10–12, 16, 18–21, 23–24, 25</w:t>
      </w:r>
      <w:r w:rsidR="001E48A7" w:rsidRPr="007B07C3">
        <w:rPr>
          <w:vertAlign w:val="superscript"/>
        </w:rPr>
        <w:t>)</w:t>
      </w:r>
    </w:p>
    <w:p w14:paraId="3E07F26F" w14:textId="1B51C7A9" w:rsidR="00C95334" w:rsidRPr="007B07C3" w:rsidRDefault="00D5256D" w:rsidP="007B07C3">
      <w:pPr>
        <w:pStyle w:val="Odstavekseznama"/>
        <w:numPr>
          <w:ilvl w:val="0"/>
          <w:numId w:val="3"/>
        </w:numPr>
        <w:spacing w:after="0" w:line="240" w:lineRule="auto"/>
        <w:jc w:val="both"/>
        <w:rPr>
          <w:rFonts w:cstheme="minorHAnsi"/>
        </w:rPr>
      </w:pPr>
      <w:r>
        <w:t>i</w:t>
      </w:r>
      <w:r w:rsidR="00150372" w:rsidRPr="001D6A78">
        <w:t xml:space="preserve">zboljša metabolizem kosti in mišično maso </w:t>
      </w:r>
      <w:r w:rsidR="00150372" w:rsidRPr="007B07C3">
        <w:rPr>
          <w:vertAlign w:val="superscript"/>
        </w:rPr>
        <w:t>(26)</w:t>
      </w:r>
    </w:p>
    <w:p w14:paraId="3AA74241" w14:textId="77777777" w:rsidR="00C95334" w:rsidRPr="001D6A78" w:rsidRDefault="00C95334" w:rsidP="00B262BC">
      <w:pPr>
        <w:spacing w:after="0" w:line="240" w:lineRule="auto"/>
        <w:jc w:val="both"/>
        <w:rPr>
          <w:rFonts w:cstheme="minorHAnsi"/>
        </w:rPr>
      </w:pPr>
    </w:p>
    <w:p w14:paraId="51C0E43C" w14:textId="77777777" w:rsidR="00E974D7" w:rsidRPr="001D6A78" w:rsidRDefault="00E974D7" w:rsidP="00B262BC">
      <w:pPr>
        <w:spacing w:after="0" w:line="240" w:lineRule="auto"/>
        <w:jc w:val="both"/>
        <w:rPr>
          <w:rFonts w:cstheme="minorHAnsi"/>
        </w:rPr>
      </w:pPr>
      <w:r w:rsidRPr="001D6A78">
        <w:rPr>
          <w:rFonts w:cstheme="minorHAnsi"/>
        </w:rPr>
        <w:t xml:space="preserve">Skladen z zahtevami strokovnih smernic za terapijo prvega izbora pri pediatrični Crohnovi bolezni, bodisi kot izključna enteralna prehrana, bodisi kot delna enteralna prehrana. </w:t>
      </w:r>
    </w:p>
    <w:p w14:paraId="2312DBBE" w14:textId="710BAAB5" w:rsidR="00E42DA8" w:rsidRPr="001D6A78" w:rsidRDefault="00E42DA8" w:rsidP="00B262BC">
      <w:pPr>
        <w:spacing w:after="0" w:line="240" w:lineRule="auto"/>
        <w:jc w:val="both"/>
        <w:rPr>
          <w:rFonts w:cstheme="minorHAnsi"/>
          <w:vertAlign w:val="superscript"/>
        </w:rPr>
      </w:pPr>
      <w:r w:rsidRPr="001D6A78">
        <w:t>Izključna enteralna prehrana je priporočena kot indukcijska terapija prvega izbora pri pediatričnih bolnikih s Crohnovo boleznijo v strokovnih smernicah številnih pediatričnih združenj, kot so ESPEN</w:t>
      </w:r>
      <w:r w:rsidRPr="001D6A78">
        <w:rPr>
          <w:vertAlign w:val="superscript"/>
        </w:rPr>
        <w:t>(5)</w:t>
      </w:r>
      <w:r w:rsidR="006C5E53" w:rsidRPr="001D6A78">
        <w:t>,</w:t>
      </w:r>
      <w:r w:rsidRPr="001D6A78">
        <w:t>BSPGHAN</w:t>
      </w:r>
      <w:r w:rsidRPr="001D6A78">
        <w:rPr>
          <w:vertAlign w:val="superscript"/>
        </w:rPr>
        <w:t>(6)</w:t>
      </w:r>
      <w:r w:rsidRPr="001D6A78">
        <w:t xml:space="preserve"> , JSPGHAN</w:t>
      </w:r>
      <w:r w:rsidRPr="001D6A78">
        <w:rPr>
          <w:vertAlign w:val="superscript"/>
        </w:rPr>
        <w:t>(7)</w:t>
      </w:r>
      <w:r w:rsidRPr="001D6A78">
        <w:t>, NASPGHAN</w:t>
      </w:r>
      <w:r w:rsidRPr="001D6A78">
        <w:rPr>
          <w:vertAlign w:val="superscript"/>
        </w:rPr>
        <w:t>(8)</w:t>
      </w:r>
      <w:r w:rsidRPr="001D6A78">
        <w:t xml:space="preserve"> in ECCO/ESPGHAN</w:t>
      </w:r>
      <w:r w:rsidRPr="001D6A78">
        <w:rPr>
          <w:vertAlign w:val="superscript"/>
        </w:rPr>
        <w:t>(9)</w:t>
      </w:r>
    </w:p>
    <w:p w14:paraId="73614968" w14:textId="0C0CC194" w:rsidR="00E42DA8" w:rsidRPr="001D6A78" w:rsidRDefault="00E42DA8" w:rsidP="00B262BC">
      <w:pPr>
        <w:spacing w:after="0" w:line="240" w:lineRule="auto"/>
        <w:jc w:val="both"/>
        <w:rPr>
          <w:rFonts w:cstheme="minorHAnsi"/>
          <w:vertAlign w:val="superscript"/>
        </w:rPr>
      </w:pPr>
    </w:p>
    <w:p w14:paraId="606AFB8B" w14:textId="4798D88E" w:rsidR="009A3727" w:rsidRPr="001D6A78" w:rsidRDefault="009A3727" w:rsidP="00B262BC">
      <w:pPr>
        <w:spacing w:after="0" w:line="240" w:lineRule="auto"/>
        <w:jc w:val="both"/>
        <w:rPr>
          <w:rFonts w:cstheme="minorHAnsi"/>
        </w:rPr>
      </w:pPr>
      <w:r w:rsidRPr="001D6A78">
        <w:rPr>
          <w:rFonts w:cstheme="minorHAnsi"/>
        </w:rPr>
        <w:t>Sestava izdelka:</w:t>
      </w:r>
    </w:p>
    <w:p w14:paraId="4DB8880B" w14:textId="3A57689F" w:rsidR="009A3727" w:rsidRPr="001D6A78" w:rsidRDefault="009A3727" w:rsidP="00B262BC">
      <w:pPr>
        <w:spacing w:after="0" w:line="240" w:lineRule="auto"/>
        <w:jc w:val="both"/>
        <w:rPr>
          <w:rFonts w:cstheme="minorHAnsi"/>
        </w:rPr>
      </w:pPr>
    </w:p>
    <w:p w14:paraId="46557035" w14:textId="54A231A4" w:rsidR="00537420" w:rsidRPr="001D6A78" w:rsidRDefault="00537420" w:rsidP="00B262BC">
      <w:pPr>
        <w:spacing w:after="0" w:line="240" w:lineRule="auto"/>
        <w:jc w:val="both"/>
        <w:rPr>
          <w:rFonts w:cstheme="minorHAnsi"/>
        </w:rPr>
      </w:pPr>
      <w:r w:rsidRPr="001D6A78">
        <w:rPr>
          <w:rFonts w:cstheme="minorHAnsi"/>
          <w:shd w:val="clear" w:color="auto" w:fill="FFFFFF"/>
        </w:rPr>
        <w:t>glukozni sirup, mlečne beljakovine, saharoza, mlečne maščobe, MCT olja, minerali (magnezijev klorid, kalcijev fosfat, natrijev citrat, kalijev citrat, kalijev hidroksid, kalcijev karbonat, kalijev klorid, manganov sulfat, železov sulfat, cinkov sulfat, bakrov sulfat, natrijev molibdat, kromov klorid, kalijev jodid, natrijev selenat), koruzno olje, emulgator (sojin lecitin), vitamini (vitamin C, vitamin E, niacin, pantotenska kislina, vitamin B6, tiamin, A, riboflavin, folna kislina, vitamin K, biotin, vitamin D, vitamin B12)</w:t>
      </w:r>
      <w:r w:rsidR="0044392F" w:rsidRPr="001D6A78">
        <w:rPr>
          <w:rFonts w:cstheme="minorHAnsi"/>
          <w:shd w:val="clear" w:color="auto" w:fill="FFFFFF"/>
        </w:rPr>
        <w:t>.</w:t>
      </w:r>
    </w:p>
    <w:p w14:paraId="62D8CCA9" w14:textId="32304903" w:rsidR="00537420" w:rsidRPr="001D6A78" w:rsidRDefault="00537420" w:rsidP="00B262BC">
      <w:pPr>
        <w:spacing w:after="0" w:line="240" w:lineRule="auto"/>
        <w:jc w:val="both"/>
        <w:rPr>
          <w:rFonts w:ascii="Times New Roman" w:hAnsi="Times New Roman" w:cs="Times New Roman"/>
        </w:rPr>
      </w:pPr>
    </w:p>
    <w:p w14:paraId="2063D41E" w14:textId="77777777" w:rsidR="00993EE9" w:rsidRPr="001D6A78" w:rsidRDefault="00993EE9" w:rsidP="00B262BC">
      <w:pPr>
        <w:spacing w:after="0" w:line="240" w:lineRule="auto"/>
        <w:jc w:val="both"/>
        <w:rPr>
          <w:rFonts w:cstheme="minorHAnsi"/>
        </w:rPr>
      </w:pPr>
    </w:p>
    <w:p w14:paraId="375444E1" w14:textId="1FBE4639" w:rsidR="00E25080" w:rsidRPr="001D6A78" w:rsidRDefault="00E25080" w:rsidP="00B262BC">
      <w:pPr>
        <w:jc w:val="both"/>
        <w:rPr>
          <w:rFonts w:cstheme="minorHAnsi"/>
          <w:sz w:val="16"/>
          <w:szCs w:val="16"/>
        </w:rPr>
      </w:pPr>
      <w:r w:rsidRPr="001D6A78">
        <w:rPr>
          <w:rFonts w:cstheme="minorHAnsi"/>
          <w:sz w:val="16"/>
          <w:szCs w:val="16"/>
        </w:rPr>
        <w:t>Reference: 1. Gavin J et al. (2005) J Human Nutr Diet, 18: 337–342. 2. Beattie RM et al. (2006) Arch Dis Child. 91(5): 426–432. 3. Wiskin AE et al. (2007) Nutr Clin Pract 22: 214. 4. Rosen D et al. (2012) ICAN: Infant, Child, &amp; Adol Nutr. 4: 111. 5. Lochs H et al. (2006) H Clin Nutr. 25: 260–274. 6. Sandhu BK et al. (2010) J Ped Gastroenterol Nutr. 50: p S1–S13. 7. Konno M et al. (2006) Pediatr Int. 48: 349-52. 8. Critch J et al. (2012) JPGN. 54: 298-305. 9. Ruemmele F et al. (2014). Journal of Crohn’s and Colitis 8, 1179–207. 10. Beattie RM et al. (1994) Aliment Pharmacol Ther. 8(6): 609-15. 11. Beattie RM et al. (1998) Clin Endocrinol. 49(4): 483-9. 12. Fell JM et al. (2000) Aliment Pharmacol Ther. 14(3): 281-9. 13. Afzal NA et al. (2005) Dig Dis Sci. 50(8): 1471-5. 14. Lionetti P et al. (2005) JPEN. 29 (4 Suppl): S173-5; discussion S175-8, S184-8. 15. Bascietto C et al. (2004) J Pediatr Gastroenterol Nutr. 39 Supplement 1: S106-S107. 16. Berni-Canani R et al. (2006) Dig Liver Dis. 38(6): 381-7. 17. Borrelli O et al. (2006) Clin Gastroenterol Hepatol. 4(6): 744-53. 18. Afzal NA et al. (2004) Aliment Pharmacol Ther. 20(2): 167-72. 19. Hartman C et al. (2008) Isr Med Assoc J. 10(7): 503-7. 20. Buchanan E et al. (2009) Aliment Pharmacol Ther 30:501-7. 21. Bannerjee K et al. (2004) J Pediatr Gastroenterol Nutr. 38(3): 270-5. 22. Phylactos AC et al. (2001) Acta Paediatr. 90(8): 883-8. 23. Rubio B et al. (2011) Aliment Pharmacol Ther 33: 1332-1339. 24. Day AS et al. (2006) J Gastroenterol Hepatol. 21: 1609-1614. 25. Gerasimidis K et al (2012). Inflamm Bowel Dis. 18(9): 1672-81. 26. Werkstetter K et al. (2013). Ann Nutr Metab. 63:10-16. 27. Demetriou T et al. (2008) Gut. 57 (Suppl 1): A18. 28. Chiang NYZ et al. (2009) British Society of Gastroenterology Annual Meeting, PT 250. 29. Ramirez S et al. (2005) Gastroenterol. 128(4 suppl 2): A-586.</w:t>
      </w:r>
    </w:p>
    <w:p w14:paraId="58A43FA0" w14:textId="499B7DF7" w:rsidR="00E25080" w:rsidRPr="001D6A78" w:rsidRDefault="00993EE9" w:rsidP="0009087F">
      <w:pPr>
        <w:jc w:val="both"/>
        <w:rPr>
          <w:rFonts w:cstheme="minorHAnsi"/>
          <w:shd w:val="clear" w:color="auto" w:fill="FFFFFF"/>
        </w:rPr>
      </w:pPr>
      <w:r w:rsidRPr="001D6A78">
        <w:rPr>
          <w:rFonts w:cstheme="minorHAnsi"/>
        </w:rPr>
        <w:lastRenderedPageBreak/>
        <w:t>Proizvajalec:</w:t>
      </w:r>
      <w:r w:rsidR="00D92DD2" w:rsidRPr="001D6A78">
        <w:rPr>
          <w:rFonts w:cstheme="minorHAnsi"/>
        </w:rPr>
        <w:t xml:space="preserve"> </w:t>
      </w:r>
      <w:r w:rsidR="00D92DD2" w:rsidRPr="001D6A78">
        <w:rPr>
          <w:rFonts w:cstheme="minorHAnsi"/>
          <w:shd w:val="clear" w:color="auto" w:fill="FFFFFF"/>
        </w:rPr>
        <w:t>Nestlé Health Science, Avenue Nestlé 55, 1800 Vevey, Switzerland</w:t>
      </w:r>
    </w:p>
    <w:p w14:paraId="2AB2A7A6" w14:textId="05153E19" w:rsidR="001D6A78" w:rsidRPr="001D6A78" w:rsidRDefault="001D6A78" w:rsidP="001D6A78">
      <w:pPr>
        <w:pStyle w:val="Navadensplet"/>
        <w:spacing w:before="0" w:beforeAutospacing="0" w:after="0" w:afterAutospacing="0"/>
        <w:rPr>
          <w:rFonts w:asciiTheme="minorHAnsi" w:hAnsiTheme="minorHAnsi" w:cstheme="minorHAnsi"/>
          <w:sz w:val="22"/>
          <w:szCs w:val="22"/>
        </w:rPr>
      </w:pPr>
      <w:r w:rsidRPr="001D6A78">
        <w:rPr>
          <w:rFonts w:asciiTheme="minorHAnsi" w:hAnsiTheme="minorHAnsi" w:cstheme="minorHAnsi"/>
          <w:sz w:val="22"/>
          <w:szCs w:val="22"/>
          <w:shd w:val="clear" w:color="auto" w:fill="FFFFFF"/>
        </w:rPr>
        <w:t xml:space="preserve">Pooblaščeni predstavnik: </w:t>
      </w:r>
      <w:r w:rsidRPr="001D6A78">
        <w:rPr>
          <w:rFonts w:asciiTheme="minorHAnsi" w:hAnsiTheme="minorHAnsi" w:cstheme="minorHAnsi"/>
          <w:sz w:val="22"/>
          <w:szCs w:val="22"/>
        </w:rPr>
        <w:br/>
        <w:t>OPH Oktal Pharma d.o.o., Pot k sejmišču 26a, 1231 Ljubljana-Črnuče</w:t>
      </w:r>
    </w:p>
    <w:p w14:paraId="6D3C3855" w14:textId="28D9AFA0" w:rsidR="00D92DD2" w:rsidRPr="001D6A78" w:rsidRDefault="00D92DD2" w:rsidP="0009087F">
      <w:pPr>
        <w:jc w:val="both"/>
      </w:pPr>
    </w:p>
    <w:p w14:paraId="4ED24B92" w14:textId="77777777" w:rsidR="00E25080" w:rsidRDefault="00E25080" w:rsidP="0009087F">
      <w:pPr>
        <w:jc w:val="both"/>
      </w:pPr>
    </w:p>
    <w:p w14:paraId="0F3C4D85" w14:textId="77777777" w:rsidR="0039498E" w:rsidRDefault="0039498E" w:rsidP="0009087F">
      <w:pPr>
        <w:jc w:val="both"/>
      </w:pPr>
    </w:p>
    <w:p w14:paraId="0BDCD064" w14:textId="77777777" w:rsidR="00FD7FDE" w:rsidRDefault="00FD7FDE" w:rsidP="0009087F">
      <w:pPr>
        <w:jc w:val="both"/>
      </w:pPr>
    </w:p>
    <w:p w14:paraId="7E8E238A" w14:textId="2DF66C9B" w:rsidR="00FD7FDE" w:rsidRDefault="00FD7FDE" w:rsidP="0009087F">
      <w:pPr>
        <w:jc w:val="both"/>
      </w:pPr>
    </w:p>
    <w:p w14:paraId="61B1395E" w14:textId="77777777" w:rsidR="00FD7FDE" w:rsidRDefault="00FD7FDE" w:rsidP="0009087F">
      <w:pPr>
        <w:jc w:val="both"/>
      </w:pPr>
    </w:p>
    <w:sectPr w:rsidR="00FD7F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81FAC"/>
    <w:multiLevelType w:val="hybridMultilevel"/>
    <w:tmpl w:val="195640DC"/>
    <w:lvl w:ilvl="0" w:tplc="0424000D">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15CF5C8B"/>
    <w:multiLevelType w:val="hybridMultilevel"/>
    <w:tmpl w:val="CFC09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B656B26"/>
    <w:multiLevelType w:val="hybridMultilevel"/>
    <w:tmpl w:val="548291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FDE"/>
    <w:rsid w:val="00006B54"/>
    <w:rsid w:val="0003594F"/>
    <w:rsid w:val="0009087F"/>
    <w:rsid w:val="000941A3"/>
    <w:rsid w:val="000D3F35"/>
    <w:rsid w:val="000E5178"/>
    <w:rsid w:val="00150372"/>
    <w:rsid w:val="001708FC"/>
    <w:rsid w:val="001A7C5E"/>
    <w:rsid w:val="001D6A78"/>
    <w:rsid w:val="001E48A7"/>
    <w:rsid w:val="002375E9"/>
    <w:rsid w:val="002C1E02"/>
    <w:rsid w:val="00317E3E"/>
    <w:rsid w:val="00362890"/>
    <w:rsid w:val="00393E12"/>
    <w:rsid w:val="0039498E"/>
    <w:rsid w:val="0044392F"/>
    <w:rsid w:val="00453DCE"/>
    <w:rsid w:val="004A2F29"/>
    <w:rsid w:val="004C0272"/>
    <w:rsid w:val="00537420"/>
    <w:rsid w:val="00593194"/>
    <w:rsid w:val="005A4928"/>
    <w:rsid w:val="005C28C5"/>
    <w:rsid w:val="0061378D"/>
    <w:rsid w:val="006C5E53"/>
    <w:rsid w:val="00703449"/>
    <w:rsid w:val="007A7760"/>
    <w:rsid w:val="007B07C3"/>
    <w:rsid w:val="00843AEB"/>
    <w:rsid w:val="00852D71"/>
    <w:rsid w:val="00993EE9"/>
    <w:rsid w:val="009A3727"/>
    <w:rsid w:val="009B76D5"/>
    <w:rsid w:val="009E53DD"/>
    <w:rsid w:val="009F2E3C"/>
    <w:rsid w:val="00A17AC4"/>
    <w:rsid w:val="00A22467"/>
    <w:rsid w:val="00A33D4B"/>
    <w:rsid w:val="00A63332"/>
    <w:rsid w:val="00AB02FF"/>
    <w:rsid w:val="00B262BC"/>
    <w:rsid w:val="00BC31BC"/>
    <w:rsid w:val="00BC77D4"/>
    <w:rsid w:val="00C30626"/>
    <w:rsid w:val="00C31A6E"/>
    <w:rsid w:val="00C95334"/>
    <w:rsid w:val="00CB7106"/>
    <w:rsid w:val="00CC14DE"/>
    <w:rsid w:val="00D07701"/>
    <w:rsid w:val="00D5256D"/>
    <w:rsid w:val="00D92DD2"/>
    <w:rsid w:val="00E25080"/>
    <w:rsid w:val="00E3624F"/>
    <w:rsid w:val="00E42DA8"/>
    <w:rsid w:val="00E974D7"/>
    <w:rsid w:val="00ED0771"/>
    <w:rsid w:val="00F10924"/>
    <w:rsid w:val="00F26339"/>
    <w:rsid w:val="00F85DBC"/>
    <w:rsid w:val="00F97544"/>
    <w:rsid w:val="00FD7FDE"/>
    <w:rsid w:val="00FF1B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ECD98"/>
  <w15:chartTrackingRefBased/>
  <w15:docId w15:val="{BBF56E6E-D051-45F6-BB58-278DCDD07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D7FDE"/>
    <w:pPr>
      <w:ind w:left="720"/>
      <w:contextualSpacing/>
    </w:pPr>
  </w:style>
  <w:style w:type="table" w:styleId="Tabelamrea">
    <w:name w:val="Table Grid"/>
    <w:basedOn w:val="Navadnatabela"/>
    <w:uiPriority w:val="39"/>
    <w:rsid w:val="00FD7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1D6A78"/>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96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B477DB02143A448280F1196982381C" ma:contentTypeVersion="13" ma:contentTypeDescription="Ustvari nov dokument." ma:contentTypeScope="" ma:versionID="0883c073ea4f3a01170e4a9a8966f440">
  <xsd:schema xmlns:xsd="http://www.w3.org/2001/XMLSchema" xmlns:xs="http://www.w3.org/2001/XMLSchema" xmlns:p="http://schemas.microsoft.com/office/2006/metadata/properties" xmlns:ns2="b5abda28-526d-4540-ab24-95ab7c85af0e" xmlns:ns3="aa0576dd-94bb-4aff-a689-6badb1443e43" targetNamespace="http://schemas.microsoft.com/office/2006/metadata/properties" ma:root="true" ma:fieldsID="6e6b800a0f6fd5c84dc6dabbf586de33" ns2:_="" ns3:_="">
    <xsd:import namespace="b5abda28-526d-4540-ab24-95ab7c85af0e"/>
    <xsd:import namespace="aa0576dd-94bb-4aff-a689-6badb1443e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bda28-526d-4540-ab24-95ab7c85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0576dd-94bb-4aff-a689-6badb1443e43" elementFormDefault="qualified">
    <xsd:import namespace="http://schemas.microsoft.com/office/2006/documentManagement/types"/>
    <xsd:import namespace="http://schemas.microsoft.com/office/infopath/2007/PartnerControls"/>
    <xsd:element name="SharedWithUsers" ma:index="19"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8E6F27-E862-47E3-A60A-AE4373A69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abda28-526d-4540-ab24-95ab7c85af0e"/>
    <ds:schemaRef ds:uri="aa0576dd-94bb-4aff-a689-6badb1443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CAD535-B0CB-43B4-9E47-2D838489206B}">
  <ds:schemaRefs>
    <ds:schemaRef ds:uri="http://schemas.microsoft.com/sharepoint/v3/contenttype/forms"/>
  </ds:schemaRefs>
</ds:datastoreItem>
</file>

<file path=customXml/itemProps3.xml><?xml version="1.0" encoding="utf-8"?>
<ds:datastoreItem xmlns:ds="http://schemas.openxmlformats.org/officeDocument/2006/customXml" ds:itemID="{32757865-BF5F-406E-B0DF-E999CDCD91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685</Words>
  <Characters>3905</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Kojc</dc:creator>
  <cp:keywords/>
  <dc:description/>
  <cp:lastModifiedBy>Tomaž Lepener</cp:lastModifiedBy>
  <cp:revision>9</cp:revision>
  <dcterms:created xsi:type="dcterms:W3CDTF">2022-03-29T13:16:00Z</dcterms:created>
  <dcterms:modified xsi:type="dcterms:W3CDTF">2022-03-29T13:41:00Z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0x0101000CB477DB02143A448280F1196982381C</vt:lpwstr>
  </property>
</Properties>
</file>