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C4" w:rsidRDefault="00F920C4" w:rsidP="00F920C4">
      <w:pPr>
        <w:pStyle w:val="Header"/>
        <w:shd w:val="clear" w:color="auto" w:fill="FFFFFF"/>
        <w:rPr>
          <w:rFonts w:ascii="Calibri" w:hAnsi="Calibri"/>
          <w:b/>
          <w:color w:val="000000" w:themeColor="text1"/>
          <w:sz w:val="22"/>
          <w:szCs w:val="22"/>
          <w:lang w:val="en-US"/>
        </w:rPr>
      </w:pPr>
      <w:r>
        <w:rPr>
          <w:rFonts w:ascii="Calibri" w:hAnsi="Calibri"/>
          <w:b/>
          <w:color w:val="000000" w:themeColor="text1"/>
          <w:sz w:val="22"/>
          <w:szCs w:val="22"/>
          <w:lang w:val="en-US"/>
        </w:rPr>
        <w:t>PROCULIN Tears Advance Plus</w:t>
      </w:r>
    </w:p>
    <w:p w:rsidR="00F920C4" w:rsidRPr="00F920C4" w:rsidRDefault="00F920C4" w:rsidP="00F920C4">
      <w:pPr>
        <w:pStyle w:val="Header"/>
        <w:shd w:val="clear" w:color="auto" w:fill="FFFFFF"/>
        <w:rPr>
          <w:rFonts w:ascii="Calibri" w:hAnsi="Calibri"/>
          <w:b/>
          <w:color w:val="000000" w:themeColor="text1"/>
          <w:sz w:val="22"/>
          <w:szCs w:val="22"/>
          <w:lang w:val="en-US"/>
        </w:rPr>
      </w:pPr>
      <w:r w:rsidRPr="00F920C4">
        <w:rPr>
          <w:rFonts w:ascii="Calibri" w:hAnsi="Calibri"/>
          <w:b/>
          <w:color w:val="000000" w:themeColor="text1"/>
          <w:sz w:val="22"/>
          <w:szCs w:val="22"/>
          <w:lang w:val="en-US"/>
        </w:rPr>
        <w:t>“</w:t>
      </w:r>
      <w:proofErr w:type="spellStart"/>
      <w:r w:rsidRPr="00F920C4">
        <w:rPr>
          <w:rFonts w:ascii="Calibri" w:hAnsi="Calibri"/>
          <w:b/>
          <w:bCs/>
          <w:color w:val="000000" w:themeColor="text1"/>
          <w:sz w:val="22"/>
          <w:szCs w:val="22"/>
          <w:lang w:val="en-US"/>
        </w:rPr>
        <w:t>Kapljice</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za</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oči</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na</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osnovi</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premrežene</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hialuronske</w:t>
      </w:r>
      <w:proofErr w:type="spellEnd"/>
      <w:r w:rsidRPr="00F920C4">
        <w:rPr>
          <w:rFonts w:ascii="Calibri" w:hAnsi="Calibri"/>
          <w:b/>
          <w:bCs/>
          <w:color w:val="000000" w:themeColor="text1"/>
          <w:sz w:val="22"/>
          <w:szCs w:val="22"/>
          <w:lang w:val="en-US"/>
        </w:rPr>
        <w:t xml:space="preserve"> </w:t>
      </w:r>
      <w:proofErr w:type="spellStart"/>
      <w:r w:rsidRPr="00F920C4">
        <w:rPr>
          <w:rFonts w:ascii="Calibri" w:hAnsi="Calibri"/>
          <w:b/>
          <w:bCs/>
          <w:color w:val="000000" w:themeColor="text1"/>
          <w:sz w:val="22"/>
          <w:szCs w:val="22"/>
          <w:lang w:val="en-US"/>
        </w:rPr>
        <w:t>kisline</w:t>
      </w:r>
      <w:proofErr w:type="spellEnd"/>
      <w:r w:rsidRPr="00F920C4">
        <w:rPr>
          <w:rFonts w:ascii="Calibri" w:hAnsi="Calibri"/>
          <w:b/>
          <w:color w:val="000000" w:themeColor="text1"/>
          <w:sz w:val="22"/>
          <w:szCs w:val="22"/>
          <w:lang w:val="en-US"/>
        </w:rPr>
        <w:t xml:space="preserve"> 0</w:t>
      </w:r>
      <w:proofErr w:type="gramStart"/>
      <w:r w:rsidRPr="00F920C4">
        <w:rPr>
          <w:rFonts w:ascii="Calibri" w:hAnsi="Calibri"/>
          <w:b/>
          <w:color w:val="000000" w:themeColor="text1"/>
          <w:sz w:val="22"/>
          <w:szCs w:val="22"/>
          <w:lang w:val="en-US"/>
        </w:rPr>
        <w:t>,4</w:t>
      </w:r>
      <w:proofErr w:type="gramEnd"/>
      <w:r w:rsidRPr="00F920C4">
        <w:rPr>
          <w:rFonts w:ascii="Calibri" w:hAnsi="Calibri"/>
          <w:b/>
          <w:color w:val="000000" w:themeColor="text1"/>
          <w:sz w:val="22"/>
          <w:szCs w:val="22"/>
          <w:lang w:val="en-US"/>
        </w:rPr>
        <w:t xml:space="preserve"> %” </w:t>
      </w:r>
      <w:proofErr w:type="spellStart"/>
      <w:r w:rsidRPr="00F920C4">
        <w:rPr>
          <w:rFonts w:ascii="Calibri" w:hAnsi="Calibri"/>
          <w:b/>
          <w:color w:val="000000" w:themeColor="text1"/>
          <w:sz w:val="22"/>
          <w:szCs w:val="22"/>
          <w:lang w:val="en-US"/>
        </w:rPr>
        <w:t>večodmerne</w:t>
      </w:r>
      <w:proofErr w:type="spellEnd"/>
      <w:r w:rsidRPr="00F920C4">
        <w:rPr>
          <w:rFonts w:ascii="Calibri" w:hAnsi="Calibri"/>
          <w:b/>
          <w:color w:val="000000" w:themeColor="text1"/>
          <w:sz w:val="22"/>
          <w:szCs w:val="22"/>
          <w:lang w:val="en-US"/>
        </w:rPr>
        <w:t xml:space="preserve"> 10 ml</w:t>
      </w:r>
    </w:p>
    <w:p w:rsidR="00F920C4" w:rsidRDefault="00F920C4" w:rsidP="00F920C4">
      <w:pPr>
        <w:pStyle w:val="Header"/>
        <w:shd w:val="clear" w:color="auto" w:fill="FFFFFF"/>
        <w:rPr>
          <w:rFonts w:ascii="Calibri" w:hAnsi="Calibri"/>
          <w:b/>
          <w:color w:val="000000" w:themeColor="text1"/>
          <w:sz w:val="22"/>
          <w:szCs w:val="22"/>
          <w:lang w:val="en-US"/>
        </w:rPr>
      </w:pPr>
    </w:p>
    <w:p w:rsidR="00F920C4" w:rsidRPr="00F920C4" w:rsidRDefault="00F920C4" w:rsidP="00F920C4">
      <w:pPr>
        <w:pStyle w:val="Header"/>
        <w:shd w:val="clear" w:color="auto" w:fill="FFFFFF"/>
        <w:rPr>
          <w:rFonts w:ascii="Calibri" w:hAnsi="Calibri"/>
          <w:b/>
          <w:color w:val="000000" w:themeColor="text1"/>
          <w:sz w:val="22"/>
          <w:szCs w:val="22"/>
          <w:lang w:val="en-US"/>
        </w:rPr>
      </w:pPr>
      <w:r w:rsidRPr="00F920C4">
        <w:rPr>
          <w:rFonts w:ascii="Calibri" w:hAnsi="Calibri"/>
          <w:b/>
          <w:color w:val="000000" w:themeColor="text1"/>
          <w:sz w:val="22"/>
          <w:szCs w:val="22"/>
          <w:lang w:val="en-US"/>
        </w:rPr>
        <w:t xml:space="preserve">NAVODILO ZA UPORABO </w:t>
      </w:r>
    </w:p>
    <w:p w:rsidR="003D12CC" w:rsidRDefault="00F920C4"/>
    <w:p w:rsidR="00F920C4" w:rsidRPr="00F920C4" w:rsidRDefault="00F920C4" w:rsidP="00F920C4">
      <w:pPr>
        <w:pStyle w:val="Header"/>
        <w:shd w:val="clear" w:color="auto" w:fill="FFFFFF"/>
        <w:rPr>
          <w:rFonts w:ascii="Calibri" w:hAnsi="Calibri"/>
          <w:b/>
          <w:color w:val="000000" w:themeColor="text1"/>
          <w:sz w:val="22"/>
          <w:szCs w:val="22"/>
          <w:lang w:val="en-US"/>
        </w:rPr>
      </w:pPr>
      <w:r>
        <w:rPr>
          <w:rFonts w:ascii="Calibri" w:hAnsi="Calibri"/>
          <w:b/>
          <w:color w:val="000000" w:themeColor="text1"/>
          <w:sz w:val="22"/>
          <w:szCs w:val="22"/>
          <w:lang w:val="en-US"/>
        </w:rPr>
        <w:t>PROCULIN Tears Advance</w:t>
      </w:r>
      <w:r>
        <w:rPr>
          <w:rFonts w:ascii="Calibri" w:hAnsi="Calibri"/>
          <w:b/>
          <w:color w:val="000000" w:themeColor="text1"/>
          <w:sz w:val="22"/>
          <w:szCs w:val="22"/>
          <w:lang w:val="en-US"/>
        </w:rPr>
        <w:t xml:space="preserve"> Plus </w:t>
      </w:r>
      <w:r w:rsidRPr="00FF49B5">
        <w:rPr>
          <w:rFonts w:ascii="Calibri" w:hAnsi="Calibri"/>
          <w:bCs/>
          <w:sz w:val="22"/>
          <w:szCs w:val="22"/>
          <w:lang w:val="sl-SI"/>
        </w:rPr>
        <w:t>je sterilna raztopina za oftalmološko uporabo s fiziološkim pH</w:t>
      </w:r>
      <w:r w:rsidRPr="00FF49B5">
        <w:rPr>
          <w:rFonts w:ascii="Calibri" w:hAnsi="Calibri" w:cs="Calibri"/>
          <w:sz w:val="22"/>
          <w:szCs w:val="22"/>
          <w:lang w:val="sl-SI"/>
        </w:rPr>
        <w:t>, ki temelji na patentirani tehnologiji premrežen</w:t>
      </w:r>
      <w:r>
        <w:rPr>
          <w:rFonts w:ascii="Calibri" w:hAnsi="Calibri" w:cs="Calibri"/>
          <w:sz w:val="22"/>
          <w:szCs w:val="22"/>
          <w:lang w:val="sl-SI"/>
        </w:rPr>
        <w:t>ja</w:t>
      </w:r>
      <w:r w:rsidRPr="00FF49B5">
        <w:rPr>
          <w:rFonts w:ascii="Calibri" w:hAnsi="Calibri" w:cs="Calibri"/>
          <w:sz w:val="22"/>
          <w:szCs w:val="22"/>
          <w:lang w:val="sl-SI"/>
        </w:rPr>
        <w:t xml:space="preserve"> hialuronske kisline (HK) s sečnino, kar izboljša in okrepi specifične mehanske lastnosti nativne HK, da je veliko dlje odporna na razgradnjo s hialuronidazo kot nativna HK. Zaradi tega ima večje in podaljšano mazalno in vlažilno delovanje kot nativna HK.</w:t>
      </w:r>
    </w:p>
    <w:p w:rsidR="00F920C4" w:rsidRPr="00FF49B5" w:rsidRDefault="00F920C4" w:rsidP="00F920C4">
      <w:pPr>
        <w:jc w:val="both"/>
        <w:rPr>
          <w:rFonts w:ascii="Calibri" w:hAnsi="Calibri" w:cs="Calibri"/>
          <w:lang w:val="sl-SI"/>
        </w:rPr>
      </w:pPr>
      <w:r w:rsidRPr="00FF49B5">
        <w:rPr>
          <w:rFonts w:ascii="Calibri" w:hAnsi="Calibri" w:cs="Calibri"/>
          <w:lang w:val="sl-SI"/>
        </w:rPr>
        <w:t xml:space="preserve">Hidratantna mrežna struktura premrežene HK je sposobna dlje časa dovajati vodo, kar izboljša mazalne lastnosti nativne HK in hkrati poveča njene vlažilne učinke, zato je indicirana kot dodatek pri sindromu suhega očesa. </w:t>
      </w:r>
    </w:p>
    <w:p w:rsidR="00F920C4" w:rsidRPr="00FF49B5" w:rsidRDefault="00F920C4" w:rsidP="00F920C4">
      <w:pPr>
        <w:jc w:val="both"/>
        <w:rPr>
          <w:rFonts w:ascii="Calibri" w:hAnsi="Calibri" w:cs="Calibri"/>
          <w:lang w:val="sl-SI"/>
        </w:rPr>
      </w:pPr>
      <w:r w:rsidRPr="00FF49B5">
        <w:rPr>
          <w:rFonts w:ascii="Calibri" w:hAnsi="Calibri" w:cs="Calibri"/>
          <w:lang w:val="sl-SI"/>
        </w:rPr>
        <w:t>Premrežena HK daje izdelku mazalne, vlažilne in obnovitvene lastnosti, ki lahko olajšajo suhost očesa zaradi sindroma suhega očesa, razdraženega ali utrujenega očesa pri vnetnih stanjih ali okoljskih dejavnikih.</w:t>
      </w:r>
    </w:p>
    <w:p w:rsidR="00F920C4" w:rsidRPr="00FF49B5" w:rsidRDefault="00F920C4" w:rsidP="00F920C4">
      <w:pPr>
        <w:jc w:val="both"/>
        <w:rPr>
          <w:rFonts w:ascii="Calibri" w:hAnsi="Calibri" w:cs="Calibri"/>
          <w:lang w:val="sl-SI"/>
        </w:rPr>
      </w:pPr>
      <w:r w:rsidRPr="00FF49B5">
        <w:rPr>
          <w:rFonts w:ascii="Calibri" w:hAnsi="Calibri" w:cs="Calibri"/>
          <w:lang w:val="sl-SI"/>
        </w:rPr>
        <w:t xml:space="preserve">Formula je bila razvita tako, da zagotavlja največje udobje že v prvih trenutkih po aplikaciji. Primerna je za vsakodnevno uporabo, podnevi in ponoči. </w:t>
      </w:r>
    </w:p>
    <w:p w:rsidR="00F920C4" w:rsidRPr="00FF49B5" w:rsidRDefault="00F920C4" w:rsidP="00F920C4">
      <w:pPr>
        <w:jc w:val="both"/>
        <w:rPr>
          <w:rFonts w:ascii="Calibri" w:hAnsi="Calibri" w:cs="Calibri"/>
          <w:lang w:val="sl-SI"/>
        </w:rPr>
      </w:pPr>
      <w:r w:rsidRPr="00FF49B5">
        <w:rPr>
          <w:rFonts w:ascii="Calibri" w:hAnsi="Calibri" w:cs="Calibri"/>
          <w:lang w:val="sl-SI"/>
        </w:rPr>
        <w:t>Ne vsebuje konzervansov in/ali molekul s protivnetnim in vazokonstriktivnim delovanjem.</w:t>
      </w:r>
    </w:p>
    <w:p w:rsidR="00F920C4" w:rsidRPr="00F920C4" w:rsidRDefault="00F920C4" w:rsidP="00F920C4">
      <w:pPr>
        <w:pStyle w:val="Header"/>
        <w:shd w:val="clear" w:color="auto" w:fill="FFFFFF"/>
        <w:rPr>
          <w:rFonts w:ascii="Calibri" w:hAnsi="Calibri"/>
          <w:b/>
          <w:color w:val="000000" w:themeColor="text1"/>
          <w:sz w:val="22"/>
          <w:szCs w:val="22"/>
          <w:lang w:val="en-US"/>
        </w:rPr>
      </w:pPr>
      <w:r w:rsidRPr="00FF49B5" w:rsidDel="00F2271B">
        <w:rPr>
          <w:rFonts w:ascii="Calibri" w:hAnsi="Calibri"/>
          <w:b/>
          <w:bCs/>
          <w:color w:val="FF0000"/>
          <w:sz w:val="22"/>
          <w:szCs w:val="22"/>
          <w:lang w:val="sl-SI"/>
        </w:rPr>
        <w:t xml:space="preserve"> </w:t>
      </w:r>
      <w:r>
        <w:rPr>
          <w:rFonts w:ascii="Calibri" w:hAnsi="Calibri"/>
          <w:b/>
          <w:color w:val="000000" w:themeColor="text1"/>
          <w:sz w:val="22"/>
          <w:szCs w:val="22"/>
          <w:lang w:val="en-US"/>
        </w:rPr>
        <w:t>PROCULIN Tears Advance</w:t>
      </w:r>
      <w:r>
        <w:rPr>
          <w:rFonts w:ascii="Calibri" w:hAnsi="Calibri"/>
          <w:b/>
          <w:color w:val="000000" w:themeColor="text1"/>
          <w:sz w:val="22"/>
          <w:szCs w:val="22"/>
          <w:lang w:val="en-US"/>
        </w:rPr>
        <w:t xml:space="preserve"> Plus </w:t>
      </w:r>
      <w:r w:rsidRPr="00FF49B5">
        <w:rPr>
          <w:rFonts w:ascii="Calibri" w:hAnsi="Calibri"/>
          <w:bCs/>
          <w:sz w:val="22"/>
          <w:szCs w:val="22"/>
          <w:lang w:val="sl-SI"/>
        </w:rPr>
        <w:t>je združljiv s kontaktnimi lečami.</w:t>
      </w:r>
    </w:p>
    <w:p w:rsidR="00F920C4" w:rsidRDefault="00F920C4" w:rsidP="00F920C4">
      <w:pPr>
        <w:rPr>
          <w:rFonts w:ascii="Calibri" w:hAnsi="Calibri"/>
          <w:bCs/>
          <w:lang w:val="sl-SI"/>
        </w:rPr>
      </w:pPr>
    </w:p>
    <w:p w:rsidR="00F920C4" w:rsidRPr="00FF49B5" w:rsidRDefault="00F920C4" w:rsidP="00F920C4">
      <w:pPr>
        <w:pStyle w:val="BodyText"/>
        <w:outlineLvl w:val="0"/>
        <w:rPr>
          <w:rFonts w:ascii="Calibri" w:eastAsia="Arial" w:hAnsi="Calibri" w:cs="Arial"/>
          <w:b/>
          <w:bCs/>
          <w:sz w:val="22"/>
          <w:szCs w:val="22"/>
          <w:lang w:val="sl-SI" w:eastAsia="it-IT"/>
        </w:rPr>
      </w:pPr>
      <w:r w:rsidRPr="00FF49B5">
        <w:rPr>
          <w:rFonts w:ascii="Calibri" w:eastAsia="Arial" w:hAnsi="Calibri" w:cs="Arial"/>
          <w:b/>
          <w:bCs/>
          <w:sz w:val="22"/>
          <w:szCs w:val="22"/>
          <w:lang w:val="sl-SI" w:eastAsia="it-IT"/>
        </w:rPr>
        <w:t>PREDVIDENA UPORABA</w:t>
      </w:r>
      <w:r>
        <w:rPr>
          <w:rFonts w:ascii="Calibri" w:eastAsia="Arial" w:hAnsi="Calibri" w:cs="Arial"/>
          <w:b/>
          <w:bCs/>
          <w:sz w:val="22"/>
          <w:szCs w:val="22"/>
          <w:lang w:val="sl-SI" w:eastAsia="it-IT"/>
        </w:rPr>
        <w:t>:</w:t>
      </w:r>
    </w:p>
    <w:p w:rsidR="00F920C4" w:rsidRPr="00F920C4" w:rsidRDefault="00F920C4" w:rsidP="00F920C4">
      <w:pPr>
        <w:pStyle w:val="Header"/>
        <w:shd w:val="clear" w:color="auto" w:fill="FFFFFF"/>
        <w:rPr>
          <w:rFonts w:ascii="Calibri" w:hAnsi="Calibri"/>
          <w:b/>
          <w:color w:val="000000" w:themeColor="text1"/>
          <w:sz w:val="22"/>
          <w:szCs w:val="22"/>
          <w:lang w:val="en-US"/>
        </w:rPr>
      </w:pPr>
      <w:r>
        <w:rPr>
          <w:rFonts w:ascii="Calibri" w:hAnsi="Calibri"/>
          <w:b/>
          <w:color w:val="000000" w:themeColor="text1"/>
          <w:sz w:val="22"/>
          <w:szCs w:val="22"/>
          <w:lang w:val="en-US"/>
        </w:rPr>
        <w:t>PROCULIN Tears Advance</w:t>
      </w:r>
      <w:r>
        <w:rPr>
          <w:rFonts w:ascii="Calibri" w:hAnsi="Calibri"/>
          <w:b/>
          <w:color w:val="000000" w:themeColor="text1"/>
          <w:sz w:val="22"/>
          <w:szCs w:val="22"/>
          <w:lang w:val="en-US"/>
        </w:rPr>
        <w:t xml:space="preserve"> Plus </w:t>
      </w:r>
      <w:r w:rsidRPr="00FF49B5">
        <w:rPr>
          <w:rFonts w:ascii="Calibri" w:hAnsi="Calibri"/>
          <w:sz w:val="22"/>
          <w:szCs w:val="22"/>
          <w:lang w:val="sl-SI"/>
        </w:rPr>
        <w:t>se uporablja:</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za ponovno vzpostavitev in izboljšanje stabilnosti solznega filma pri sindromu suhega očesa</w:t>
      </w:r>
      <w:r>
        <w:rPr>
          <w:rFonts w:ascii="Calibri" w:hAnsi="Calibri"/>
          <w:sz w:val="22"/>
          <w:szCs w:val="22"/>
          <w:lang w:val="sl-SI" w:eastAsia="it-IT"/>
        </w:rPr>
        <w:t>;</w:t>
      </w:r>
      <w:r w:rsidRPr="00FF49B5">
        <w:rPr>
          <w:rFonts w:ascii="Calibri" w:hAnsi="Calibri"/>
          <w:sz w:val="22"/>
          <w:szCs w:val="22"/>
          <w:lang w:val="sl-SI" w:eastAsia="it-IT"/>
        </w:rPr>
        <w:t xml:space="preserve"> </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po refraktivni operaciji</w:t>
      </w:r>
      <w:r>
        <w:rPr>
          <w:rFonts w:ascii="Calibri" w:hAnsi="Calibri"/>
          <w:sz w:val="22"/>
          <w:szCs w:val="22"/>
          <w:lang w:val="sl-SI" w:eastAsia="it-IT"/>
        </w:rPr>
        <w:t>;</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za razbremenitev oči v primeru rdečice, utrujenosti in nelagodja očesa ali očesne sluznice zaradi:</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xml:space="preserve">           - okoljskih dejavnikov (klimatiziranega zraka, pretirane izpostavljenosti sončnemu sevanju, vetra, dima,</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xml:space="preserve">             onesnaženja, morske vode ali vode v bazenu in posušene soli);</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xml:space="preserve">           - suhosti oči zaradi pretirane utrujenosti, ki jo povzroča dolgotrajno delo z računalnikom, </w:t>
      </w:r>
      <w:r w:rsidRPr="008D0341">
        <w:rPr>
          <w:rFonts w:ascii="Calibri" w:hAnsi="Calibri"/>
          <w:sz w:val="22"/>
          <w:szCs w:val="22"/>
          <w:lang w:val="sl-SI" w:eastAsia="it-IT"/>
        </w:rPr>
        <w:t>študij</w:t>
      </w:r>
      <w:r w:rsidRPr="00B65A9B">
        <w:rPr>
          <w:rFonts w:ascii="Calibri" w:hAnsi="Calibri"/>
          <w:sz w:val="22"/>
          <w:szCs w:val="22"/>
          <w:lang w:val="sl-SI" w:eastAsia="it-IT"/>
        </w:rPr>
        <w:t>;</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xml:space="preserve">           - nepravilnega delovanja solznih žlez po vnetju, kroničnem blefaritisu;</w:t>
      </w:r>
    </w:p>
    <w:p w:rsidR="00F920C4" w:rsidRPr="00FF49B5" w:rsidRDefault="00F920C4" w:rsidP="00F920C4">
      <w:pPr>
        <w:pStyle w:val="BodyText"/>
        <w:rPr>
          <w:rFonts w:ascii="Calibri" w:hAnsi="Calibri"/>
          <w:sz w:val="22"/>
          <w:szCs w:val="22"/>
          <w:lang w:val="sl-SI" w:eastAsia="it-IT"/>
        </w:rPr>
      </w:pPr>
      <w:r w:rsidRPr="00FF49B5">
        <w:rPr>
          <w:rFonts w:ascii="Calibri" w:hAnsi="Calibri"/>
          <w:sz w:val="22"/>
          <w:szCs w:val="22"/>
          <w:lang w:val="sl-SI" w:eastAsia="it-IT"/>
        </w:rPr>
        <w:t xml:space="preserve">           - </w:t>
      </w:r>
      <w:r w:rsidRPr="00FF49B5">
        <w:rPr>
          <w:rFonts w:ascii="Calibri" w:hAnsi="Calibri"/>
          <w:sz w:val="22"/>
          <w:szCs w:val="22"/>
          <w:lang w:val="sl-SI"/>
        </w:rPr>
        <w:t xml:space="preserve">nepravilnega delovanja solznih žlez </w:t>
      </w:r>
      <w:r w:rsidRPr="00FF49B5">
        <w:rPr>
          <w:rFonts w:ascii="Calibri" w:hAnsi="Calibri"/>
          <w:sz w:val="22"/>
          <w:szCs w:val="22"/>
          <w:lang w:val="sl-SI" w:eastAsia="it-IT"/>
        </w:rPr>
        <w:t>po različnih operacijah oči ali estetskih operacijah vek;</w:t>
      </w:r>
    </w:p>
    <w:p w:rsidR="00F920C4" w:rsidRDefault="00F920C4" w:rsidP="00F920C4">
      <w:pPr>
        <w:rPr>
          <w:rFonts w:ascii="Calibri" w:hAnsi="Calibri"/>
          <w:lang w:val="sl-SI"/>
        </w:rPr>
      </w:pPr>
      <w:r w:rsidRPr="00FF49B5">
        <w:rPr>
          <w:rFonts w:ascii="Calibri" w:hAnsi="Calibri"/>
          <w:lang w:val="sl-SI" w:eastAsia="it-IT"/>
        </w:rPr>
        <w:t xml:space="preserve">           - nošenje mehkih ali poltrdih kontaktnih leč</w:t>
      </w:r>
      <w:r w:rsidRPr="00FF49B5">
        <w:rPr>
          <w:rFonts w:ascii="Calibri" w:hAnsi="Calibri"/>
          <w:lang w:val="sl-SI"/>
        </w:rPr>
        <w:t>.</w:t>
      </w:r>
    </w:p>
    <w:p w:rsidR="00F920C4" w:rsidRPr="00FF49B5" w:rsidRDefault="00F920C4" w:rsidP="00F920C4">
      <w:pPr>
        <w:pStyle w:val="BodyText"/>
        <w:spacing w:line="240" w:lineRule="atLeast"/>
        <w:outlineLvl w:val="0"/>
        <w:rPr>
          <w:rFonts w:ascii="Calibri" w:eastAsia="Arial" w:hAnsi="Calibri" w:cs="Arial"/>
          <w:b/>
          <w:bCs/>
          <w:sz w:val="6"/>
          <w:szCs w:val="6"/>
          <w:lang w:val="sl-SI" w:eastAsia="it-IT"/>
        </w:rPr>
      </w:pPr>
      <w:r w:rsidRPr="00FF49B5">
        <w:rPr>
          <w:rFonts w:ascii="Calibri" w:eastAsia="Arial" w:hAnsi="Calibri" w:cs="Arial"/>
          <w:b/>
          <w:bCs/>
          <w:sz w:val="22"/>
          <w:szCs w:val="22"/>
          <w:lang w:val="sl-SI" w:eastAsia="it-IT"/>
        </w:rPr>
        <w:t>SESTAVA</w:t>
      </w:r>
      <w:r>
        <w:rPr>
          <w:rFonts w:ascii="Calibri" w:eastAsia="Arial" w:hAnsi="Calibri" w:cs="Arial"/>
          <w:b/>
          <w:bCs/>
          <w:sz w:val="22"/>
          <w:szCs w:val="22"/>
          <w:lang w:val="sl-SI" w:eastAsia="it-IT"/>
        </w:rPr>
        <w:t>:</w:t>
      </w:r>
    </w:p>
    <w:p w:rsidR="00F920C4" w:rsidRPr="00F920C4" w:rsidRDefault="00F920C4" w:rsidP="00F920C4">
      <w:pPr>
        <w:rPr>
          <w:rFonts w:ascii="Calibri" w:hAnsi="Calibri"/>
          <w:lang w:val="sl-SI"/>
        </w:rPr>
      </w:pPr>
      <w:r w:rsidRPr="00FF49B5">
        <w:rPr>
          <w:rFonts w:ascii="Calibri" w:hAnsi="Calibri"/>
          <w:lang w:val="sl-SI"/>
        </w:rPr>
        <w:t>Vodna raztopina premrežene</w:t>
      </w:r>
      <w:r w:rsidRPr="00EE3922">
        <w:rPr>
          <w:rFonts w:ascii="Calibri" w:hAnsi="Calibri"/>
          <w:lang w:val="sl-SI"/>
        </w:rPr>
        <w:t>ga</w:t>
      </w:r>
      <w:r w:rsidRPr="00FF49B5">
        <w:rPr>
          <w:rFonts w:ascii="Calibri" w:hAnsi="Calibri"/>
          <w:lang w:val="sl-SI"/>
        </w:rPr>
        <w:t xml:space="preserve"> polimera natrijevega hialuronata (od tega 0,4 % premrežene</w:t>
      </w:r>
      <w:r w:rsidRPr="00EE3922">
        <w:rPr>
          <w:rFonts w:ascii="Calibri" w:hAnsi="Calibri"/>
          <w:lang w:val="sl-SI"/>
        </w:rPr>
        <w:t>ga</w:t>
      </w:r>
      <w:r w:rsidRPr="00FF49B5">
        <w:rPr>
          <w:rFonts w:ascii="Calibri" w:hAnsi="Calibri"/>
          <w:lang w:val="sl-SI"/>
        </w:rPr>
        <w:t xml:space="preserve"> polimera natrijevega hialuronata), trometamol, klorovodikova kislina 2N, natrijev klorid, voda za injekcije. Brez konzervansov.</w:t>
      </w:r>
    </w:p>
    <w:p w:rsidR="00F920C4" w:rsidRPr="00F920C4" w:rsidRDefault="00F920C4" w:rsidP="00F920C4">
      <w:pPr>
        <w:rPr>
          <w:rFonts w:ascii="Calibri" w:hAnsi="Calibri"/>
          <w:b/>
          <w:lang w:val="sl-SI"/>
        </w:rPr>
      </w:pPr>
      <w:r w:rsidRPr="00F920C4">
        <w:rPr>
          <w:rFonts w:ascii="Calibri" w:hAnsi="Calibri"/>
          <w:b/>
          <w:lang w:val="sl-SI"/>
        </w:rPr>
        <w:t>NAVODILA ZA UPORABO</w:t>
      </w:r>
      <w:r>
        <w:rPr>
          <w:rFonts w:ascii="Calibri" w:hAnsi="Calibri"/>
          <w:b/>
          <w:lang w:val="sl-SI"/>
        </w:rPr>
        <w:t>:</w:t>
      </w:r>
    </w:p>
    <w:p w:rsidR="00F920C4" w:rsidRPr="00F920C4" w:rsidRDefault="00F920C4" w:rsidP="00F920C4">
      <w:pPr>
        <w:pStyle w:val="NoSpacing"/>
        <w:numPr>
          <w:ilvl w:val="0"/>
          <w:numId w:val="2"/>
        </w:numPr>
        <w:rPr>
          <w:lang w:val="sl-SI"/>
        </w:rPr>
      </w:pPr>
      <w:r w:rsidRPr="00F920C4">
        <w:rPr>
          <w:lang w:val="sl-SI"/>
        </w:rPr>
        <w:t>Temeljito si umijte roke.</w:t>
      </w:r>
    </w:p>
    <w:p w:rsidR="00F920C4" w:rsidRPr="00F920C4" w:rsidRDefault="00F920C4" w:rsidP="00F920C4">
      <w:pPr>
        <w:pStyle w:val="NoSpacing"/>
        <w:numPr>
          <w:ilvl w:val="0"/>
          <w:numId w:val="2"/>
        </w:numPr>
        <w:rPr>
          <w:lang w:val="sl-SI"/>
        </w:rPr>
      </w:pPr>
      <w:r w:rsidRPr="00F920C4">
        <w:rPr>
          <w:lang w:val="sl-SI"/>
        </w:rPr>
        <w:t>Pred prvo uporabo odtrgajte zaščitno tesnilo.</w:t>
      </w:r>
    </w:p>
    <w:p w:rsidR="00F920C4" w:rsidRDefault="00F920C4" w:rsidP="00F920C4">
      <w:pPr>
        <w:pStyle w:val="NoSpacing"/>
        <w:numPr>
          <w:ilvl w:val="0"/>
          <w:numId w:val="2"/>
        </w:numPr>
        <w:rPr>
          <w:lang w:val="sl-SI"/>
        </w:rPr>
      </w:pPr>
      <w:r w:rsidRPr="00F920C4">
        <w:rPr>
          <w:lang w:val="sl-SI"/>
        </w:rPr>
        <w:t>Odstranite zaščitni pokrovček in odprite plastenko.</w:t>
      </w:r>
    </w:p>
    <w:p w:rsidR="00F920C4" w:rsidRPr="00F920C4" w:rsidRDefault="00F920C4" w:rsidP="00F920C4">
      <w:pPr>
        <w:pStyle w:val="NoSpacing"/>
        <w:numPr>
          <w:ilvl w:val="0"/>
          <w:numId w:val="2"/>
        </w:numPr>
        <w:rPr>
          <w:lang w:val="sl-SI"/>
        </w:rPr>
      </w:pPr>
      <w:r w:rsidRPr="00F920C4">
        <w:rPr>
          <w:lang w:val="sl-SI"/>
        </w:rPr>
        <w:t>Plastenko obrnite navzdol in rahlo pritisnite nanjo, da v vsako oko vkapate 2 kapljici, razen če je predpisano drugače.</w:t>
      </w:r>
    </w:p>
    <w:p w:rsidR="00F920C4" w:rsidRPr="00F920C4" w:rsidRDefault="00F920C4" w:rsidP="00F920C4">
      <w:pPr>
        <w:pStyle w:val="NoSpacing"/>
        <w:numPr>
          <w:ilvl w:val="0"/>
          <w:numId w:val="2"/>
        </w:numPr>
        <w:rPr>
          <w:lang w:val="sl-SI"/>
        </w:rPr>
      </w:pPr>
      <w:r w:rsidRPr="00F920C4">
        <w:rPr>
          <w:lang w:val="sl-SI"/>
        </w:rPr>
        <w:t>Po vsaki kapljici počakajte nekaj sekund in plastenke ne stiskajte. To bo omogočilo, da se v sterilni sistem za filtriranje zraka vrne dovolj zraka, sicer bo kapljice težje iztisniti.</w:t>
      </w:r>
    </w:p>
    <w:p w:rsidR="00F920C4" w:rsidRPr="00F920C4" w:rsidRDefault="00F920C4" w:rsidP="00F920C4">
      <w:pPr>
        <w:pStyle w:val="NoSpacing"/>
        <w:numPr>
          <w:ilvl w:val="0"/>
          <w:numId w:val="2"/>
        </w:numPr>
        <w:rPr>
          <w:lang w:val="sl-SI"/>
        </w:rPr>
      </w:pPr>
      <w:r w:rsidRPr="00F920C4">
        <w:rPr>
          <w:lang w:val="sl-SI"/>
        </w:rPr>
        <w:t>Postopno praznjenje plastenke je lahko povezano s potrebo po izvajanju večjega pritiska, da se omogoči dovajanje izdelka. To je posledica lastnosti sistema zapiranja, ki deluje tako, da ohranja sterilnost ter kemične in fizikalne lastnosti raztopin brez konzervansov. Poleg tega v plastenki vedno ostane majhna količina raztopine.</w:t>
      </w:r>
    </w:p>
    <w:p w:rsidR="00F920C4" w:rsidRPr="00F920C4" w:rsidRDefault="00F920C4" w:rsidP="00F920C4">
      <w:pPr>
        <w:pStyle w:val="NoSpacing"/>
        <w:numPr>
          <w:ilvl w:val="0"/>
          <w:numId w:val="2"/>
        </w:numPr>
        <w:rPr>
          <w:lang w:val="sl-SI"/>
        </w:rPr>
      </w:pPr>
      <w:r w:rsidRPr="00F920C4">
        <w:rPr>
          <w:lang w:val="sl-SI"/>
        </w:rPr>
        <w:t>Po uporabi preostalo kapljico stresite s konice aplikatorja.</w:t>
      </w:r>
    </w:p>
    <w:p w:rsidR="00F920C4" w:rsidRPr="00F920C4" w:rsidRDefault="00F920C4" w:rsidP="00F920C4">
      <w:pPr>
        <w:pStyle w:val="NoSpacing"/>
        <w:numPr>
          <w:ilvl w:val="0"/>
          <w:numId w:val="2"/>
        </w:numPr>
        <w:rPr>
          <w:lang w:val="sl-SI"/>
        </w:rPr>
      </w:pPr>
      <w:r w:rsidRPr="00F920C4">
        <w:rPr>
          <w:lang w:val="sl-SI"/>
        </w:rPr>
        <w:t>Po uporabi plastenko takoj zaprite s pokrovčkom.</w:t>
      </w:r>
    </w:p>
    <w:p w:rsidR="00F920C4" w:rsidRPr="00F920C4" w:rsidRDefault="00F920C4" w:rsidP="00F920C4">
      <w:pPr>
        <w:pStyle w:val="NoSpacing"/>
        <w:numPr>
          <w:ilvl w:val="0"/>
          <w:numId w:val="2"/>
        </w:numPr>
        <w:rPr>
          <w:lang w:val="sl-SI"/>
        </w:rPr>
      </w:pPr>
      <w:r w:rsidRPr="00F920C4">
        <w:rPr>
          <w:lang w:val="sl-SI"/>
        </w:rPr>
        <w:t>Zaščitnega pokrovčka ne namestite nazaj, dokler je plastenka še vedno stisnjena.</w:t>
      </w:r>
    </w:p>
    <w:p w:rsidR="00F920C4" w:rsidRPr="00F920C4" w:rsidRDefault="00F920C4" w:rsidP="00F920C4">
      <w:pPr>
        <w:pStyle w:val="NoSpacing"/>
        <w:numPr>
          <w:ilvl w:val="0"/>
          <w:numId w:val="2"/>
        </w:numPr>
        <w:rPr>
          <w:lang w:val="sl-SI"/>
        </w:rPr>
      </w:pPr>
      <w:r w:rsidRPr="00F920C4">
        <w:rPr>
          <w:lang w:val="sl-SI"/>
        </w:rPr>
        <w:t>Z ničemer se ne dotikajte konice aplikatorja, niti z očmi ali prsti.</w:t>
      </w:r>
    </w:p>
    <w:p w:rsidR="00F920C4" w:rsidRDefault="00F920C4" w:rsidP="00F920C4">
      <w:pPr>
        <w:pStyle w:val="NoSpacing"/>
        <w:numPr>
          <w:ilvl w:val="0"/>
          <w:numId w:val="2"/>
        </w:numPr>
        <w:rPr>
          <w:lang w:val="sl-SI"/>
        </w:rPr>
      </w:pPr>
      <w:r w:rsidRPr="00F920C4">
        <w:rPr>
          <w:lang w:val="sl-SI"/>
        </w:rPr>
        <w:t>Izdelek lahko uporabljate do 3 mesecev po prvem odprtju.</w:t>
      </w:r>
    </w:p>
    <w:p w:rsidR="00F920C4" w:rsidRDefault="00F920C4" w:rsidP="00F920C4">
      <w:pPr>
        <w:rPr>
          <w:rFonts w:ascii="Calibri" w:hAnsi="Calibri"/>
          <w:lang w:val="sl-SI"/>
        </w:rPr>
      </w:pPr>
    </w:p>
    <w:p w:rsidR="00F920C4" w:rsidRPr="00EE3922" w:rsidRDefault="00F920C4" w:rsidP="00F920C4">
      <w:pPr>
        <w:spacing w:line="264" w:lineRule="exact"/>
        <w:jc w:val="both"/>
        <w:rPr>
          <w:rFonts w:cstheme="minorHAnsi"/>
          <w:b/>
          <w:lang w:val="sl-SI"/>
        </w:rPr>
      </w:pPr>
      <w:r w:rsidRPr="00EE3922">
        <w:rPr>
          <w:rFonts w:cstheme="minorHAnsi"/>
          <w:b/>
          <w:lang w:val="sl-SI"/>
        </w:rPr>
        <w:t>OPOZORILA IN PREVIDNOSTNI UKREPI</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Izdelek je namenjen samo za oftalmološko uporabo.</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Izdelek je namenjen za uporabo pri enem uporabniku.</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Izdelka ne uporabljajte, če je ovojnina poškodovana ali ni popolnoma zaprta, ko jo prvič odprete.</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Izdelka ne uporabljajte, če so vidni delci in/ali spremembe v barvi raztopine.</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 xml:space="preserve">Med uporabo se z odmerno konico </w:t>
      </w:r>
      <w:r w:rsidRPr="00FF49B5">
        <w:rPr>
          <w:rFonts w:ascii="Calibri" w:hAnsi="Calibri" w:cs="Courier New"/>
          <w:sz w:val="22"/>
          <w:szCs w:val="22"/>
          <w:lang w:val="sl-SI"/>
        </w:rPr>
        <w:t>plastenke</w:t>
      </w:r>
      <w:r w:rsidRPr="00FF49B5">
        <w:rPr>
          <w:rFonts w:asciiTheme="minorHAnsi" w:hAnsiTheme="minorHAnsi" w:cstheme="minorHAnsi"/>
          <w:sz w:val="22"/>
          <w:szCs w:val="22"/>
          <w:lang w:val="sl-SI"/>
        </w:rPr>
        <w:t xml:space="preserve"> ne dotikajte očesa ali katere koli druge površine.</w:t>
      </w:r>
    </w:p>
    <w:p w:rsidR="00F920C4" w:rsidRPr="00FF49B5" w:rsidRDefault="00F920C4" w:rsidP="00F920C4">
      <w:pPr>
        <w:pStyle w:val="ListParagraph"/>
        <w:numPr>
          <w:ilvl w:val="0"/>
          <w:numId w:val="1"/>
        </w:numPr>
        <w:spacing w:line="264" w:lineRule="exact"/>
        <w:jc w:val="both"/>
        <w:rPr>
          <w:rFonts w:asciiTheme="minorHAnsi" w:hAnsiTheme="minorHAnsi" w:cstheme="minorHAnsi"/>
          <w:sz w:val="22"/>
          <w:szCs w:val="22"/>
          <w:lang w:val="sl-SI"/>
        </w:rPr>
      </w:pPr>
      <w:r w:rsidRPr="00FF49B5">
        <w:rPr>
          <w:rFonts w:asciiTheme="minorHAnsi" w:hAnsiTheme="minorHAnsi" w:cstheme="minorHAnsi"/>
          <w:sz w:val="22"/>
          <w:szCs w:val="22"/>
          <w:lang w:val="sl-SI"/>
        </w:rPr>
        <w:t xml:space="preserve">Izdelka ne uporabljajte po datumu izteka roka uporabnosti, ki je naveden </w:t>
      </w:r>
      <w:r w:rsidRPr="00B65A9B">
        <w:rPr>
          <w:rFonts w:asciiTheme="minorHAnsi" w:hAnsiTheme="minorHAnsi" w:cstheme="minorHAnsi"/>
          <w:sz w:val="22"/>
          <w:szCs w:val="22"/>
          <w:lang w:val="sl-SI"/>
        </w:rPr>
        <w:t xml:space="preserve">na </w:t>
      </w:r>
      <w:r w:rsidRPr="00614DA2">
        <w:rPr>
          <w:rFonts w:asciiTheme="minorHAnsi" w:hAnsiTheme="minorHAnsi" w:cstheme="minorHAnsi"/>
          <w:sz w:val="22"/>
          <w:szCs w:val="22"/>
          <w:lang w:val="sl-SI"/>
        </w:rPr>
        <w:t xml:space="preserve">škatli in </w:t>
      </w:r>
      <w:r>
        <w:rPr>
          <w:rFonts w:asciiTheme="minorHAnsi" w:hAnsiTheme="minorHAnsi" w:cstheme="minorHAnsi"/>
          <w:sz w:val="22"/>
          <w:szCs w:val="22"/>
          <w:lang w:val="sl-SI"/>
        </w:rPr>
        <w:t xml:space="preserve">na </w:t>
      </w:r>
      <w:r w:rsidRPr="00614DA2">
        <w:rPr>
          <w:rFonts w:asciiTheme="minorHAnsi" w:hAnsiTheme="minorHAnsi" w:cstheme="minorHAnsi"/>
          <w:sz w:val="22"/>
          <w:szCs w:val="22"/>
          <w:lang w:val="sl-SI"/>
        </w:rPr>
        <w:t>nalepki.</w:t>
      </w:r>
    </w:p>
    <w:p w:rsidR="00F920C4" w:rsidRPr="00FF49B5" w:rsidRDefault="00F920C4" w:rsidP="00F920C4">
      <w:pPr>
        <w:pStyle w:val="ListParagraph"/>
        <w:widowControl w:val="0"/>
        <w:numPr>
          <w:ilvl w:val="0"/>
          <w:numId w:val="1"/>
        </w:numPr>
        <w:spacing w:line="274" w:lineRule="exact"/>
        <w:jc w:val="both"/>
        <w:rPr>
          <w:rStyle w:val="Bodytext2Exact"/>
          <w:sz w:val="22"/>
          <w:szCs w:val="22"/>
          <w:lang w:val="sl-SI"/>
        </w:rPr>
      </w:pPr>
      <w:r w:rsidRPr="00FF49B5">
        <w:rPr>
          <w:rStyle w:val="Bodytext2Exact"/>
          <w:sz w:val="22"/>
          <w:szCs w:val="22"/>
          <w:lang w:val="sl-SI"/>
        </w:rPr>
        <w:t>Če se med uporabo pojavijo neželeni učinki, prekinite z uporabo in se posvetujte z zdravnikom.</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FF49B5">
        <w:rPr>
          <w:rStyle w:val="Bodytext2Exact"/>
          <w:sz w:val="22"/>
          <w:szCs w:val="22"/>
          <w:lang w:val="sl-SI"/>
        </w:rPr>
        <w:t xml:space="preserve">    Ne uporabljajte v primeru znane preobčutljivosti na katero koli sestavino raztopine.</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FF49B5">
        <w:rPr>
          <w:rStyle w:val="Bodytext2Exact"/>
          <w:sz w:val="22"/>
          <w:szCs w:val="22"/>
          <w:lang w:val="sl-SI"/>
        </w:rPr>
        <w:t xml:space="preserve">    O medsebojnem učinkovanju z zdravili ali drugimi kapljicami za oči ne poročajo; vendar pa pred uporabo drugih kapljic za oči počakajte vsaj 15 minut.</w:t>
      </w:r>
    </w:p>
    <w:p w:rsidR="00F920C4" w:rsidRPr="00D07E4F" w:rsidRDefault="00F920C4" w:rsidP="00F920C4">
      <w:pPr>
        <w:pStyle w:val="ListParagraph"/>
        <w:widowControl w:val="0"/>
        <w:numPr>
          <w:ilvl w:val="0"/>
          <w:numId w:val="1"/>
        </w:numPr>
        <w:spacing w:line="274" w:lineRule="exact"/>
        <w:jc w:val="both"/>
        <w:rPr>
          <w:rStyle w:val="Bodytext2Exact"/>
          <w:sz w:val="22"/>
          <w:szCs w:val="22"/>
          <w:lang w:val="sl-SI"/>
        </w:rPr>
      </w:pPr>
      <w:r w:rsidRPr="00EE3922">
        <w:rPr>
          <w:rFonts w:asciiTheme="minorHAnsi" w:hAnsiTheme="minorHAnsi" w:cstheme="minorHAnsi"/>
          <w:bCs/>
          <w:color w:val="0070C0"/>
          <w:lang w:eastAsia="x-none"/>
        </w:rPr>
        <w:t xml:space="preserve">Izdelek </w:t>
      </w:r>
      <w:r w:rsidRPr="00EE3922">
        <w:rPr>
          <w:rStyle w:val="Bodytext2Exact"/>
          <w:rFonts w:asciiTheme="minorHAnsi" w:hAnsiTheme="minorHAnsi" w:cstheme="minorHAnsi"/>
          <w:sz w:val="22"/>
          <w:szCs w:val="22"/>
          <w:lang w:val="sl-SI"/>
        </w:rPr>
        <w:t>odstranite v</w:t>
      </w:r>
      <w:r w:rsidRPr="00D07E4F">
        <w:rPr>
          <w:rStyle w:val="Bodytext2Exact"/>
          <w:sz w:val="22"/>
          <w:szCs w:val="22"/>
          <w:lang w:val="sl-SI"/>
        </w:rPr>
        <w:t xml:space="preserve"> skladu z lokalnimi predpisi o ravnanju z odpadki.</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D07E4F">
        <w:rPr>
          <w:rStyle w:val="Bodytext2Exact"/>
          <w:sz w:val="22"/>
          <w:szCs w:val="22"/>
          <w:lang w:val="sl-SI"/>
        </w:rPr>
        <w:t xml:space="preserve">    Hranite zunaj dosega</w:t>
      </w:r>
      <w:r w:rsidRPr="00FF49B5">
        <w:rPr>
          <w:rStyle w:val="Bodytext2Exact"/>
          <w:sz w:val="22"/>
          <w:szCs w:val="22"/>
          <w:lang w:val="sl-SI"/>
        </w:rPr>
        <w:t xml:space="preserve"> in vidnega polja otrok.</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FF49B5">
        <w:rPr>
          <w:rStyle w:val="Bodytext2Exact"/>
          <w:sz w:val="22"/>
          <w:szCs w:val="22"/>
          <w:lang w:val="sl-SI"/>
        </w:rPr>
        <w:t xml:space="preserve">    Če ste noseči ali dojite, se pred uporabo tega izdelka posvetujte z zdravnikom.</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FF49B5">
        <w:rPr>
          <w:rStyle w:val="Bodytext2Exact"/>
          <w:sz w:val="22"/>
          <w:szCs w:val="22"/>
          <w:lang w:val="sl-SI"/>
        </w:rPr>
        <w:t xml:space="preserve">    Za zunanjo uporabo, ne pogoltnite.</w:t>
      </w:r>
    </w:p>
    <w:p w:rsidR="00F920C4" w:rsidRPr="00FF49B5" w:rsidRDefault="00F920C4" w:rsidP="00F920C4">
      <w:pPr>
        <w:pStyle w:val="ListParagraph"/>
        <w:widowControl w:val="0"/>
        <w:numPr>
          <w:ilvl w:val="0"/>
          <w:numId w:val="1"/>
        </w:numPr>
        <w:tabs>
          <w:tab w:val="left" w:pos="310"/>
        </w:tabs>
        <w:spacing w:line="274" w:lineRule="exact"/>
        <w:jc w:val="both"/>
        <w:rPr>
          <w:rStyle w:val="Bodytext2Exact"/>
          <w:sz w:val="22"/>
          <w:szCs w:val="22"/>
          <w:lang w:val="sl-SI"/>
        </w:rPr>
      </w:pPr>
      <w:r w:rsidRPr="00FF49B5">
        <w:rPr>
          <w:rStyle w:val="Bodytext2Exact"/>
          <w:sz w:val="22"/>
          <w:szCs w:val="22"/>
          <w:lang w:val="sl-SI"/>
        </w:rPr>
        <w:t xml:space="preserve">    Ne poskušajte poškodovati aplikatorja ali ga odstraniti </w:t>
      </w:r>
      <w:r>
        <w:rPr>
          <w:rStyle w:val="Bodytext2Exact"/>
          <w:sz w:val="22"/>
          <w:szCs w:val="22"/>
          <w:lang w:val="sl-SI"/>
        </w:rPr>
        <w:t>s</w:t>
      </w:r>
      <w:r w:rsidRPr="00FF49B5">
        <w:rPr>
          <w:rStyle w:val="Bodytext2Exact"/>
          <w:sz w:val="22"/>
          <w:szCs w:val="22"/>
          <w:lang w:val="sl-SI"/>
        </w:rPr>
        <w:t xml:space="preserve"> </w:t>
      </w:r>
      <w:r w:rsidRPr="00FF49B5">
        <w:rPr>
          <w:rFonts w:ascii="Calibri" w:hAnsi="Calibri" w:cs="Courier New"/>
          <w:sz w:val="22"/>
          <w:szCs w:val="22"/>
          <w:lang w:val="sl-SI"/>
        </w:rPr>
        <w:t>plastenke</w:t>
      </w:r>
      <w:r w:rsidRPr="00FF49B5">
        <w:rPr>
          <w:rStyle w:val="Bodytext2Exact"/>
          <w:sz w:val="22"/>
          <w:szCs w:val="22"/>
          <w:lang w:val="sl-SI"/>
        </w:rPr>
        <w:t>.</w:t>
      </w:r>
    </w:p>
    <w:p w:rsidR="00F920C4" w:rsidRPr="00FF49B5" w:rsidRDefault="00F920C4" w:rsidP="00F920C4">
      <w:pPr>
        <w:pStyle w:val="ListParagraph"/>
        <w:numPr>
          <w:ilvl w:val="0"/>
          <w:numId w:val="1"/>
        </w:numPr>
        <w:spacing w:line="264" w:lineRule="exact"/>
        <w:jc w:val="both"/>
        <w:rPr>
          <w:rStyle w:val="Bodytext2Exact"/>
          <w:rFonts w:asciiTheme="minorHAnsi" w:eastAsiaTheme="minorHAnsi" w:hAnsiTheme="minorHAnsi" w:cstheme="minorHAnsi"/>
          <w:sz w:val="22"/>
          <w:szCs w:val="22"/>
          <w:lang w:val="sl-SI"/>
        </w:rPr>
      </w:pPr>
      <w:r w:rsidRPr="00FF49B5">
        <w:rPr>
          <w:rStyle w:val="Bodytext2Exact"/>
          <w:sz w:val="22"/>
          <w:szCs w:val="22"/>
          <w:lang w:val="sl-SI"/>
        </w:rPr>
        <w:t>O vsakem resnem zapletu, ki se zgodi v zvezi s pripomočkom, je treba poročati proizvajalcu in pristojnemu organu države članice, v kateri imate sedež.</w:t>
      </w:r>
    </w:p>
    <w:p w:rsidR="00F920C4" w:rsidRDefault="00F920C4" w:rsidP="00F920C4">
      <w:pPr>
        <w:rPr>
          <w:rFonts w:ascii="Calibri" w:hAnsi="Calibri"/>
          <w:lang w:val="sl-SI"/>
        </w:rPr>
      </w:pPr>
    </w:p>
    <w:p w:rsidR="00F920C4" w:rsidRPr="00FF49B5" w:rsidRDefault="00F920C4" w:rsidP="00F920C4">
      <w:pPr>
        <w:pStyle w:val="BodyText"/>
        <w:outlineLvl w:val="0"/>
        <w:rPr>
          <w:rFonts w:ascii="Calibri" w:hAnsi="Calibri" w:cs="Arial"/>
          <w:b/>
          <w:bCs/>
          <w:sz w:val="22"/>
          <w:szCs w:val="22"/>
          <w:lang w:val="sl-SI" w:eastAsia="it-IT"/>
        </w:rPr>
      </w:pPr>
      <w:r w:rsidRPr="00FF49B5">
        <w:rPr>
          <w:rFonts w:ascii="Calibri" w:hAnsi="Calibri" w:cs="Arial"/>
          <w:b/>
          <w:bCs/>
          <w:sz w:val="22"/>
          <w:szCs w:val="22"/>
          <w:lang w:val="sl-SI" w:eastAsia="it-IT"/>
        </w:rPr>
        <w:t>NEŽELENI UČINKI</w:t>
      </w:r>
      <w:r>
        <w:rPr>
          <w:rFonts w:ascii="Calibri" w:hAnsi="Calibri" w:cs="Arial"/>
          <w:b/>
          <w:bCs/>
          <w:sz w:val="22"/>
          <w:szCs w:val="22"/>
          <w:lang w:val="sl-SI" w:eastAsia="it-IT"/>
        </w:rPr>
        <w:t>:</w:t>
      </w:r>
    </w:p>
    <w:p w:rsidR="00F920C4" w:rsidRDefault="00F920C4" w:rsidP="00F920C4">
      <w:pPr>
        <w:rPr>
          <w:rFonts w:ascii="Calibri" w:hAnsi="Calibri"/>
          <w:lang w:val="sl-SI"/>
        </w:rPr>
      </w:pPr>
      <w:r w:rsidRPr="00FF49B5">
        <w:rPr>
          <w:rFonts w:ascii="Calibri" w:hAnsi="Calibri"/>
          <w:lang w:val="sl-SI"/>
        </w:rPr>
        <w:t>Takoj po vkapanju lahko izdelek zaradi viskoznosti raztopine povzroči rahlo začasno zameglitev vida. Zato je priporočljivo počakati nekaj sekund pred vsako dejavnostjo, ki zahteva jasen vid.</w:t>
      </w:r>
    </w:p>
    <w:p w:rsidR="00F920C4" w:rsidRPr="00FF49B5" w:rsidRDefault="00F920C4" w:rsidP="00F920C4">
      <w:pPr>
        <w:pStyle w:val="BodyText"/>
        <w:outlineLvl w:val="0"/>
        <w:rPr>
          <w:rFonts w:ascii="Calibri" w:eastAsia="Arial" w:hAnsi="Calibri" w:cs="Arial"/>
          <w:b/>
          <w:bCs/>
          <w:sz w:val="22"/>
          <w:szCs w:val="22"/>
          <w:lang w:val="sl-SI" w:eastAsia="it-IT"/>
        </w:rPr>
      </w:pPr>
      <w:r w:rsidRPr="00FF49B5">
        <w:rPr>
          <w:rFonts w:ascii="Calibri" w:eastAsia="Arial" w:hAnsi="Calibri" w:cs="Arial"/>
          <w:b/>
          <w:bCs/>
          <w:sz w:val="22"/>
          <w:szCs w:val="22"/>
          <w:lang w:val="sl-SI" w:eastAsia="it-IT"/>
        </w:rPr>
        <w:t>PAKIRANJE</w:t>
      </w:r>
      <w:r>
        <w:rPr>
          <w:rFonts w:ascii="Calibri" w:eastAsia="Arial" w:hAnsi="Calibri" w:cs="Arial"/>
          <w:b/>
          <w:bCs/>
          <w:sz w:val="22"/>
          <w:szCs w:val="22"/>
          <w:lang w:val="sl-SI" w:eastAsia="it-IT"/>
        </w:rPr>
        <w:t>:</w:t>
      </w:r>
    </w:p>
    <w:p w:rsidR="00F920C4" w:rsidRDefault="00F920C4" w:rsidP="00F920C4">
      <w:pPr>
        <w:rPr>
          <w:rFonts w:ascii="Calibri" w:eastAsia="Arial" w:hAnsi="Calibri" w:cs="Arial"/>
          <w:bCs/>
          <w:lang w:val="sl-SI" w:eastAsia="it-IT"/>
        </w:rPr>
      </w:pPr>
      <w:r w:rsidRPr="00FF49B5">
        <w:rPr>
          <w:rFonts w:ascii="Calibri" w:eastAsia="Arial" w:hAnsi="Calibri" w:cs="Arial"/>
          <w:bCs/>
          <w:lang w:val="sl-SI" w:eastAsia="it-IT"/>
        </w:rPr>
        <w:t xml:space="preserve">Pakiranje je sestavljeno iz </w:t>
      </w:r>
      <w:r w:rsidRPr="00FF49B5">
        <w:rPr>
          <w:rFonts w:ascii="Calibri" w:hAnsi="Calibri" w:cs="Courier New"/>
          <w:lang w:val="sl-SI"/>
        </w:rPr>
        <w:t>plastenke</w:t>
      </w:r>
      <w:r w:rsidRPr="00FF49B5">
        <w:rPr>
          <w:rFonts w:ascii="Calibri" w:eastAsia="Arial" w:hAnsi="Calibri" w:cs="Arial"/>
          <w:bCs/>
          <w:lang w:val="sl-SI" w:eastAsia="it-IT"/>
        </w:rPr>
        <w:t xml:space="preserve"> s pokrovčkom OSD (oftalmološki razpršilnik za stiskanje), ki vsebuje 10 ml oftalmološke raztopine.</w:t>
      </w:r>
    </w:p>
    <w:p w:rsidR="00F920C4" w:rsidRPr="00FF49B5" w:rsidRDefault="00F920C4" w:rsidP="00F920C4">
      <w:pPr>
        <w:pStyle w:val="BodyText"/>
        <w:outlineLvl w:val="0"/>
        <w:rPr>
          <w:rFonts w:ascii="Calibri" w:eastAsia="Arial" w:hAnsi="Calibri" w:cs="Arial"/>
          <w:b/>
          <w:bCs/>
          <w:sz w:val="22"/>
          <w:szCs w:val="22"/>
          <w:lang w:val="sl-SI" w:eastAsia="it-IT"/>
        </w:rPr>
      </w:pPr>
      <w:r w:rsidRPr="00FF49B5">
        <w:rPr>
          <w:rFonts w:ascii="Calibri" w:eastAsia="Arial" w:hAnsi="Calibri" w:cs="Arial"/>
          <w:b/>
          <w:bCs/>
          <w:sz w:val="22"/>
          <w:szCs w:val="22"/>
          <w:lang w:val="sl-SI" w:eastAsia="it-IT"/>
        </w:rPr>
        <w:t>POGOJI SHRANJEVANJA</w:t>
      </w:r>
      <w:r>
        <w:rPr>
          <w:rFonts w:ascii="Calibri" w:eastAsia="Arial" w:hAnsi="Calibri" w:cs="Arial"/>
          <w:b/>
          <w:bCs/>
          <w:sz w:val="22"/>
          <w:szCs w:val="22"/>
          <w:lang w:val="sl-SI" w:eastAsia="it-IT"/>
        </w:rPr>
        <w:t xml:space="preserve">: </w:t>
      </w:r>
    </w:p>
    <w:p w:rsidR="00F920C4" w:rsidRPr="00FF49B5" w:rsidRDefault="00F920C4" w:rsidP="00F920C4">
      <w:pPr>
        <w:pStyle w:val="BodyText"/>
        <w:outlineLvl w:val="0"/>
        <w:rPr>
          <w:rFonts w:ascii="Calibri" w:eastAsia="Arial" w:hAnsi="Calibri" w:cs="Arial"/>
          <w:bCs/>
          <w:sz w:val="22"/>
          <w:szCs w:val="22"/>
          <w:lang w:val="sl-SI" w:eastAsia="it-IT"/>
        </w:rPr>
      </w:pPr>
      <w:r w:rsidRPr="00FF49B5">
        <w:rPr>
          <w:rFonts w:ascii="Calibri" w:eastAsia="Arial" w:hAnsi="Calibri" w:cs="Arial"/>
          <w:bCs/>
          <w:sz w:val="22"/>
          <w:szCs w:val="22"/>
          <w:lang w:val="sl-SI" w:eastAsia="it-IT"/>
        </w:rPr>
        <w:t>Shranjujte med 2 °C in 30 °C na suhem mestu, stran od vročine in neposredne izpostavljenosti sončni svetlobi.</w:t>
      </w:r>
    </w:p>
    <w:p w:rsidR="00F920C4" w:rsidRDefault="00F920C4" w:rsidP="00F920C4">
      <w:pPr>
        <w:rPr>
          <w:rFonts w:ascii="Calibri" w:eastAsia="Arial" w:hAnsi="Calibri" w:cs="Arial"/>
          <w:bCs/>
          <w:lang w:val="sl-SI" w:eastAsia="it-IT"/>
        </w:rPr>
      </w:pPr>
      <w:r w:rsidRPr="00FF49B5">
        <w:rPr>
          <w:rFonts w:ascii="Calibri" w:eastAsia="Arial" w:hAnsi="Calibri" w:cs="Arial"/>
          <w:bCs/>
          <w:lang w:val="sl-SI" w:eastAsia="it-IT"/>
        </w:rPr>
        <w:t>Vsebino je treba porabiti v 3 mesecih po prvem odprtju.</w:t>
      </w:r>
    </w:p>
    <w:p w:rsidR="00F920C4" w:rsidRDefault="00F920C4" w:rsidP="00F920C4">
      <w:pPr>
        <w:rPr>
          <w:rFonts w:ascii="Calibri" w:eastAsia="Arial" w:hAnsi="Calibri" w:cs="Arial"/>
          <w:bCs/>
          <w:lang w:val="sl-SI" w:eastAsia="it-IT"/>
        </w:rPr>
      </w:pPr>
    </w:p>
    <w:p w:rsidR="00F920C4" w:rsidRPr="00FF49B5" w:rsidRDefault="00F920C4" w:rsidP="00F920C4">
      <w:pPr>
        <w:pStyle w:val="BodyText"/>
        <w:outlineLvl w:val="0"/>
        <w:rPr>
          <w:rFonts w:ascii="Calibri" w:eastAsia="Arial" w:hAnsi="Calibri" w:cs="Arial"/>
          <w:b/>
          <w:bCs/>
          <w:sz w:val="22"/>
          <w:szCs w:val="22"/>
          <w:lang w:val="sl-SI" w:eastAsia="it-IT"/>
        </w:rPr>
      </w:pPr>
      <w:r w:rsidRPr="00FF49B5">
        <w:rPr>
          <w:rFonts w:ascii="Calibri" w:eastAsia="Arial" w:hAnsi="Calibri" w:cs="Arial"/>
          <w:b/>
          <w:bCs/>
          <w:sz w:val="22"/>
          <w:szCs w:val="22"/>
          <w:lang w:val="sl-SI" w:eastAsia="it-IT"/>
        </w:rPr>
        <w:t>ROK UPORABNOSTI</w:t>
      </w:r>
      <w:r>
        <w:rPr>
          <w:rFonts w:ascii="Calibri" w:eastAsia="Arial" w:hAnsi="Calibri" w:cs="Arial"/>
          <w:b/>
          <w:bCs/>
          <w:sz w:val="22"/>
          <w:szCs w:val="22"/>
          <w:lang w:val="sl-SI" w:eastAsia="it-IT"/>
        </w:rPr>
        <w:t xml:space="preserve">: </w:t>
      </w:r>
      <w:bookmarkStart w:id="0" w:name="_GoBack"/>
      <w:bookmarkEnd w:id="0"/>
    </w:p>
    <w:p w:rsidR="00F920C4" w:rsidRDefault="00F920C4" w:rsidP="00F920C4">
      <w:pPr>
        <w:rPr>
          <w:rFonts w:ascii="Calibri" w:eastAsia="Arial" w:hAnsi="Calibri" w:cs="Arial"/>
          <w:bCs/>
          <w:lang w:val="sl-SI" w:eastAsia="it-IT"/>
        </w:rPr>
      </w:pPr>
      <w:r w:rsidRPr="00FF49B5">
        <w:rPr>
          <w:rFonts w:ascii="Calibri" w:eastAsia="Arial" w:hAnsi="Calibri" w:cs="Arial"/>
          <w:bCs/>
          <w:lang w:val="sl-SI" w:eastAsia="it-IT"/>
        </w:rPr>
        <w:t xml:space="preserve">Pri še neodprtem pakiranju ne prekoračite roka uporabnosti, ki je naveden na škatli in </w:t>
      </w:r>
      <w:r>
        <w:rPr>
          <w:rFonts w:ascii="Calibri" w:eastAsia="Arial" w:hAnsi="Calibri" w:cs="Arial"/>
          <w:bCs/>
          <w:lang w:val="sl-SI" w:eastAsia="it-IT"/>
        </w:rPr>
        <w:t>n</w:t>
      </w:r>
      <w:r w:rsidRPr="00614DA2">
        <w:rPr>
          <w:rFonts w:ascii="Calibri" w:eastAsia="Arial" w:hAnsi="Calibri" w:cs="Arial"/>
          <w:bCs/>
          <w:lang w:val="sl-SI" w:eastAsia="it-IT"/>
        </w:rPr>
        <w:t>a nalepki.</w:t>
      </w:r>
    </w:p>
    <w:p w:rsidR="00F920C4" w:rsidRDefault="00F920C4" w:rsidP="00F920C4">
      <w:pPr>
        <w:rPr>
          <w:rFonts w:ascii="Calibri" w:eastAsia="Arial" w:hAnsi="Calibri" w:cs="Arial"/>
          <w:bCs/>
          <w:lang w:val="sl-SI" w:eastAsia="it-IT"/>
        </w:rPr>
      </w:pPr>
    </w:p>
    <w:p w:rsidR="00F920C4" w:rsidRPr="00FF49B5" w:rsidRDefault="00F920C4" w:rsidP="00F920C4">
      <w:pPr>
        <w:pStyle w:val="BodyText"/>
        <w:ind w:firstLine="708"/>
        <w:rPr>
          <w:rFonts w:ascii="Calibri" w:hAnsi="Calibri" w:cs="Arial"/>
          <w:sz w:val="22"/>
          <w:szCs w:val="22"/>
          <w:lang w:val="sl-SI" w:eastAsia="it-IT"/>
        </w:rPr>
      </w:pPr>
      <w:r w:rsidRPr="00FF49B5">
        <w:rPr>
          <w:rFonts w:ascii="Calibri" w:hAnsi="Calibri" w:cs="Arial"/>
          <w:bCs/>
          <w:noProof/>
          <w:sz w:val="22"/>
          <w:szCs w:val="22"/>
          <w:lang w:val="sl-SI" w:eastAsia="sl-SI"/>
        </w:rPr>
        <w:drawing>
          <wp:anchor distT="0" distB="0" distL="114300" distR="114300" simplePos="0" relativeHeight="251659264" behindDoc="0" locked="0" layoutInCell="1" allowOverlap="1" wp14:anchorId="7AF23FF6" wp14:editId="3A8CC5AA">
            <wp:simplePos x="0" y="0"/>
            <wp:positionH relativeFrom="column">
              <wp:posOffset>54610</wp:posOffset>
            </wp:positionH>
            <wp:positionV relativeFrom="paragraph">
              <wp:posOffset>36830</wp:posOffset>
            </wp:positionV>
            <wp:extent cx="344170" cy="309880"/>
            <wp:effectExtent l="0" t="0" r="0" b="0"/>
            <wp:wrapNone/>
            <wp:docPr id="11" name="Slika 11" descr="MANUFAC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UFACTUR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95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9B5">
        <w:rPr>
          <w:rFonts w:ascii="Calibri" w:hAnsi="Calibri" w:cs="Arial"/>
          <w:sz w:val="22"/>
          <w:szCs w:val="22"/>
          <w:lang w:val="sl-SI" w:eastAsia="it-IT"/>
        </w:rPr>
        <w:t xml:space="preserve">COC Farmaceutici S.r.l. Via Modena, 15 </w:t>
      </w:r>
      <w:r w:rsidRPr="00FF49B5">
        <w:rPr>
          <w:rFonts w:ascii="Calibri" w:hAnsi="Calibri" w:cs="Arial"/>
          <w:sz w:val="22"/>
          <w:szCs w:val="22"/>
          <w:lang w:val="sl-SI" w:eastAsia="it-IT"/>
        </w:rPr>
        <w:tab/>
      </w:r>
      <w:r w:rsidRPr="00FF49B5">
        <w:rPr>
          <w:rFonts w:ascii="Calibri" w:hAnsi="Calibri" w:cs="Arial"/>
          <w:sz w:val="22"/>
          <w:szCs w:val="22"/>
          <w:lang w:val="sl-SI" w:eastAsia="it-IT"/>
        </w:rPr>
        <w:tab/>
      </w:r>
      <w:r w:rsidRPr="00FF49B5">
        <w:rPr>
          <w:rFonts w:ascii="Calibri" w:hAnsi="Calibri" w:cs="Arial"/>
          <w:sz w:val="22"/>
          <w:szCs w:val="22"/>
          <w:lang w:val="sl-SI" w:eastAsia="it-IT"/>
        </w:rPr>
        <w:tab/>
      </w:r>
      <w:r w:rsidRPr="00FF49B5">
        <w:rPr>
          <w:rFonts w:ascii="Calibri" w:hAnsi="Calibri" w:cs="Arial"/>
          <w:sz w:val="22"/>
          <w:szCs w:val="22"/>
          <w:lang w:val="sl-SI" w:eastAsia="it-IT"/>
        </w:rPr>
        <w:tab/>
      </w:r>
      <w:r w:rsidRPr="00FF49B5">
        <w:rPr>
          <w:rFonts w:ascii="Calibri" w:hAnsi="Calibri" w:cs="Arial"/>
          <w:sz w:val="22"/>
          <w:szCs w:val="22"/>
          <w:lang w:val="sl-SI" w:eastAsia="it-IT"/>
        </w:rPr>
        <w:tab/>
      </w:r>
      <w:r w:rsidRPr="00FF49B5">
        <w:rPr>
          <w:rFonts w:ascii="Calibri" w:hAnsi="Calibri" w:cs="Arial"/>
          <w:sz w:val="22"/>
          <w:szCs w:val="22"/>
          <w:lang w:val="sl-SI" w:eastAsia="it-IT"/>
        </w:rPr>
        <w:tab/>
      </w:r>
      <w:r w:rsidRPr="00FF49B5">
        <w:rPr>
          <w:rFonts w:ascii="Calibri" w:hAnsi="Calibri"/>
          <w:b/>
          <w:sz w:val="22"/>
          <w:szCs w:val="22"/>
          <w:lang w:val="sl-SI" w:eastAsia="it-IT"/>
        </w:rPr>
        <w:t xml:space="preserve"> </w:t>
      </w:r>
    </w:p>
    <w:p w:rsidR="00F920C4" w:rsidRPr="00FF49B5" w:rsidRDefault="00F920C4" w:rsidP="00F920C4">
      <w:pPr>
        <w:pStyle w:val="BodyText"/>
        <w:jc w:val="left"/>
        <w:rPr>
          <w:rFonts w:ascii="Calibri" w:hAnsi="Calibri" w:cs="Arial"/>
          <w:sz w:val="20"/>
          <w:lang w:val="sl-SI" w:eastAsia="it-IT"/>
        </w:rPr>
      </w:pPr>
      <w:r w:rsidRPr="00FF49B5">
        <w:rPr>
          <w:rFonts w:ascii="Calibri" w:hAnsi="Calibri" w:cs="Arial"/>
          <w:sz w:val="22"/>
          <w:szCs w:val="22"/>
          <w:lang w:val="sl-SI" w:eastAsia="it-IT"/>
        </w:rPr>
        <w:t xml:space="preserve">              40019 Sant’Agata Bolognese (BO)</w:t>
      </w:r>
      <w:r w:rsidRPr="00FF49B5">
        <w:rPr>
          <w:rFonts w:ascii="Calibri" w:hAnsi="Calibri" w:cs="Arial"/>
          <w:sz w:val="22"/>
          <w:szCs w:val="22"/>
          <w:lang w:val="sl-SI" w:eastAsia="it-IT"/>
        </w:rPr>
        <w:tab/>
        <w:t xml:space="preserve">                                                                                 </w:t>
      </w:r>
    </w:p>
    <w:p w:rsidR="00F920C4" w:rsidRPr="00FF49B5" w:rsidRDefault="00F920C4" w:rsidP="00F920C4">
      <w:pPr>
        <w:pStyle w:val="BodyText"/>
        <w:jc w:val="left"/>
        <w:rPr>
          <w:rFonts w:ascii="Calibri" w:hAnsi="Calibri" w:cs="Arial"/>
          <w:bCs/>
          <w:sz w:val="22"/>
          <w:szCs w:val="22"/>
          <w:lang w:val="sl-SI" w:eastAsia="it-IT"/>
        </w:rPr>
      </w:pPr>
      <w:r w:rsidRPr="00FF49B5">
        <w:rPr>
          <w:rFonts w:ascii="Calibri" w:hAnsi="Calibri" w:cs="Arial"/>
          <w:b/>
          <w:bCs/>
          <w:sz w:val="20"/>
          <w:lang w:val="sl-SI" w:eastAsia="it-IT"/>
        </w:rPr>
        <w:t xml:space="preserve">               </w:t>
      </w:r>
      <w:r w:rsidRPr="00FF49B5">
        <w:rPr>
          <w:rFonts w:ascii="Calibri" w:hAnsi="Calibri" w:cs="Arial"/>
          <w:bCs/>
          <w:sz w:val="22"/>
          <w:szCs w:val="22"/>
          <w:lang w:val="sl-SI" w:eastAsia="it-IT"/>
        </w:rPr>
        <w:t>Italija</w:t>
      </w:r>
      <w:r w:rsidRPr="00FF49B5">
        <w:rPr>
          <w:rFonts w:ascii="Calibri" w:hAnsi="Calibri" w:cs="Arial"/>
          <w:bCs/>
          <w:sz w:val="22"/>
          <w:szCs w:val="22"/>
          <w:lang w:val="sl-SI" w:eastAsia="it-IT"/>
        </w:rPr>
        <w:tab/>
      </w:r>
    </w:p>
    <w:p w:rsidR="00F920C4" w:rsidRDefault="00F920C4" w:rsidP="00F920C4">
      <w:pPr>
        <w:rPr>
          <w:rFonts w:ascii="Calibri" w:hAnsi="Calibri"/>
          <w:lang w:val="sl-SI"/>
        </w:rPr>
      </w:pPr>
    </w:p>
    <w:p w:rsidR="00F920C4" w:rsidRPr="00FF49B5" w:rsidRDefault="00F920C4" w:rsidP="00F920C4">
      <w:pPr>
        <w:pStyle w:val="BodyText"/>
        <w:jc w:val="left"/>
        <w:rPr>
          <w:rFonts w:ascii="Calibri" w:hAnsi="Calibri" w:cs="Arial"/>
          <w:sz w:val="22"/>
          <w:szCs w:val="22"/>
          <w:lang w:val="sl-SI" w:eastAsia="it-IT"/>
        </w:rPr>
      </w:pPr>
      <w:r w:rsidRPr="00FF49B5">
        <w:rPr>
          <w:noProof/>
          <w:lang w:val="sl-SI" w:eastAsia="sl-SI"/>
        </w:rPr>
        <w:drawing>
          <wp:inline distT="0" distB="0" distL="0" distR="0" wp14:anchorId="1E7410AE" wp14:editId="65B09842">
            <wp:extent cx="352425" cy="295275"/>
            <wp:effectExtent l="0" t="0" r="0" b="0"/>
            <wp:docPr id="1" name="Immagin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r w:rsidRPr="00FF49B5">
        <w:rPr>
          <w:rFonts w:ascii="Calibri" w:hAnsi="Calibri"/>
          <w:b/>
          <w:sz w:val="22"/>
          <w:szCs w:val="22"/>
          <w:lang w:val="sl-SI" w:eastAsia="it-IT"/>
        </w:rPr>
        <w:t xml:space="preserve">0051 </w:t>
      </w:r>
    </w:p>
    <w:p w:rsidR="00F920C4" w:rsidRDefault="00F920C4" w:rsidP="00F920C4"/>
    <w:sectPr w:rsidR="00F9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9CA"/>
    <w:multiLevelType w:val="hybridMultilevel"/>
    <w:tmpl w:val="5B80BF6A"/>
    <w:lvl w:ilvl="0" w:tplc="91BC43D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1062CD"/>
    <w:multiLevelType w:val="hybridMultilevel"/>
    <w:tmpl w:val="C9147CF4"/>
    <w:lvl w:ilvl="0" w:tplc="057CD07C">
      <w:numFmt w:val="bullet"/>
      <w:lvlText w:val="-"/>
      <w:lvlJc w:val="left"/>
      <w:pPr>
        <w:ind w:left="502" w:hanging="360"/>
      </w:pPr>
      <w:rPr>
        <w:rFonts w:ascii="Segoe UI" w:eastAsia="Calibri" w:hAnsi="Segoe UI" w:cs="Segoe U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1B776D97"/>
    <w:multiLevelType w:val="hybridMultilevel"/>
    <w:tmpl w:val="2A3A701A"/>
    <w:lvl w:ilvl="0" w:tplc="057CD07C">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69"/>
    <w:rsid w:val="005C2343"/>
    <w:rsid w:val="00672F96"/>
    <w:rsid w:val="00C50E69"/>
    <w:rsid w:val="00F9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2156"/>
  <w15:chartTrackingRefBased/>
  <w15:docId w15:val="{28DF6BC1-417E-4F2D-B657-FA7E519A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20C4"/>
    <w:pPr>
      <w:tabs>
        <w:tab w:val="center" w:pos="4819"/>
        <w:tab w:val="right" w:pos="9638"/>
      </w:tabs>
      <w:spacing w:after="0" w:line="240" w:lineRule="auto"/>
    </w:pPr>
    <w:rPr>
      <w:rFonts w:ascii="Times New Roman" w:eastAsia="Times New Roman" w:hAnsi="Times New Roman" w:cs="Times New Roman"/>
      <w:sz w:val="20"/>
      <w:szCs w:val="20"/>
      <w:lang w:val="it-IT" w:eastAsia="it-IT"/>
    </w:rPr>
  </w:style>
  <w:style w:type="character" w:customStyle="1" w:styleId="HeaderChar">
    <w:name w:val="Header Char"/>
    <w:basedOn w:val="DefaultParagraphFont"/>
    <w:link w:val="Header"/>
    <w:uiPriority w:val="99"/>
    <w:rsid w:val="00F920C4"/>
    <w:rPr>
      <w:rFonts w:ascii="Times New Roman" w:eastAsia="Times New Roman" w:hAnsi="Times New Roman" w:cs="Times New Roman"/>
      <w:sz w:val="20"/>
      <w:szCs w:val="20"/>
      <w:lang w:val="it-IT" w:eastAsia="it-IT"/>
    </w:rPr>
  </w:style>
  <w:style w:type="paragraph" w:styleId="BodyText">
    <w:name w:val="Body Text"/>
    <w:basedOn w:val="Normal"/>
    <w:link w:val="BodyTextChar"/>
    <w:rsid w:val="00F920C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F920C4"/>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F920C4"/>
    <w:pPr>
      <w:spacing w:after="0" w:line="240" w:lineRule="auto"/>
      <w:ind w:left="720"/>
      <w:contextualSpacing/>
    </w:pPr>
    <w:rPr>
      <w:rFonts w:ascii="Times New Roman" w:eastAsia="Times New Roman" w:hAnsi="Times New Roman" w:cs="Times New Roman"/>
      <w:sz w:val="24"/>
      <w:szCs w:val="24"/>
      <w:lang w:val="it-IT" w:eastAsia="it-IT"/>
    </w:rPr>
  </w:style>
  <w:style w:type="character" w:customStyle="1" w:styleId="Bodytext2Exact">
    <w:name w:val="Body text (2) Exact"/>
    <w:basedOn w:val="DefaultParagraphFont"/>
    <w:rsid w:val="00F920C4"/>
    <w:rPr>
      <w:rFonts w:ascii="Calibri" w:eastAsia="Calibri" w:hAnsi="Calibri" w:cs="Calibri" w:hint="default"/>
      <w:b w:val="0"/>
      <w:bCs w:val="0"/>
      <w:i w:val="0"/>
      <w:iCs w:val="0"/>
      <w:smallCaps w:val="0"/>
      <w:strike w:val="0"/>
      <w:dstrike w:val="0"/>
      <w:sz w:val="20"/>
      <w:szCs w:val="20"/>
      <w:u w:val="none"/>
      <w:effect w:val="none"/>
    </w:rPr>
  </w:style>
  <w:style w:type="paragraph" w:styleId="NoSpacing">
    <w:name w:val="No Spacing"/>
    <w:uiPriority w:val="1"/>
    <w:qFormat/>
    <w:rsid w:val="00F92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AB. Belak</dc:creator>
  <cp:keywords/>
  <dc:description/>
  <cp:lastModifiedBy>Aleksandra AB. Belak</cp:lastModifiedBy>
  <cp:revision>2</cp:revision>
  <dcterms:created xsi:type="dcterms:W3CDTF">2024-01-04T07:15:00Z</dcterms:created>
  <dcterms:modified xsi:type="dcterms:W3CDTF">2024-01-04T07:22:00Z</dcterms:modified>
</cp:coreProperties>
</file>